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14EB0" w14:textId="77777777" w:rsidR="004A460B" w:rsidRDefault="004A460B" w:rsidP="004A46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Аннотация</w:t>
      </w:r>
    </w:p>
    <w:p w14:paraId="0804AD3A" w14:textId="19DF7CF4" w:rsidR="004A460B" w:rsidRDefault="004A460B" w:rsidP="004A46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ТЗ-</w:t>
      </w:r>
      <w:r w:rsidR="006F301B">
        <w:rPr>
          <w:rFonts w:ascii="Times New Roman" w:hAnsi="Times New Roman"/>
          <w:b/>
          <w:sz w:val="24"/>
        </w:rPr>
        <w:t>5</w:t>
      </w:r>
    </w:p>
    <w:p w14:paraId="36764424" w14:textId="77777777" w:rsidR="004A460B" w:rsidRDefault="004A460B" w:rsidP="004A460B">
      <w:pPr>
        <w:jc w:val="center"/>
        <w:rPr>
          <w:rFonts w:ascii="Times New Roman" w:hAnsi="Times New Roman"/>
          <w:b/>
          <w:sz w:val="24"/>
        </w:rPr>
      </w:pPr>
    </w:p>
    <w:p w14:paraId="7220EA26" w14:textId="001945F3" w:rsidR="004A460B" w:rsidRDefault="004D1326" w:rsidP="004D132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Тема: </w:t>
      </w:r>
      <w:r w:rsidRPr="00CD08B7">
        <w:rPr>
          <w:rFonts w:ascii="Times New Roman" w:hAnsi="Times New Roman"/>
          <w:b/>
          <w:sz w:val="24"/>
        </w:rPr>
        <w:t>«</w:t>
      </w:r>
      <w:r w:rsidR="006F301B" w:rsidRPr="006F301B">
        <w:rPr>
          <w:rFonts w:ascii="Times New Roman" w:hAnsi="Times New Roman"/>
          <w:b/>
          <w:sz w:val="24"/>
        </w:rPr>
        <w:t>Трансформация уровня и качества жизни различных социальных групп в меняющихся макроэкономических условиях</w:t>
      </w:r>
      <w:r w:rsidRPr="00CD08B7">
        <w:rPr>
          <w:rFonts w:ascii="Times New Roman" w:hAnsi="Times New Roman"/>
          <w:b/>
          <w:sz w:val="24"/>
        </w:rPr>
        <w:t>»</w:t>
      </w:r>
    </w:p>
    <w:p w14:paraId="73C3A22C" w14:textId="77777777" w:rsidR="004D1326" w:rsidRPr="001A4C34" w:rsidRDefault="004D1326" w:rsidP="004D1326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A4C34">
        <w:rPr>
          <w:rFonts w:ascii="Times New Roman" w:hAnsi="Times New Roman"/>
          <w:sz w:val="24"/>
          <w:szCs w:val="24"/>
        </w:rPr>
        <w:t>Руководитель: О.В. Синявская</w:t>
      </w:r>
    </w:p>
    <w:p w14:paraId="33316141" w14:textId="77777777" w:rsidR="004D1326" w:rsidRPr="001A4C34" w:rsidRDefault="004D1326" w:rsidP="004D1326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A4C34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086CCA6A" w14:textId="77777777" w:rsidR="004D1326" w:rsidRDefault="004D1326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09E0924" w14:textId="7092C7D8" w:rsidR="00A27D6C" w:rsidRPr="00CE04DE" w:rsidRDefault="00A27D6C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E04DE">
        <w:rPr>
          <w:rFonts w:ascii="Times New Roman" w:hAnsi="Times New Roman"/>
          <w:b/>
          <w:sz w:val="24"/>
        </w:rPr>
        <w:t>Объектом</w:t>
      </w:r>
      <w:r w:rsidRPr="00CE04DE">
        <w:rPr>
          <w:rFonts w:ascii="Times New Roman" w:hAnsi="Times New Roman"/>
          <w:sz w:val="24"/>
        </w:rPr>
        <w:t xml:space="preserve"> данного исследования выступают </w:t>
      </w:r>
      <w:r w:rsidR="006F301B" w:rsidRPr="006F301B">
        <w:rPr>
          <w:rFonts w:ascii="Times New Roman" w:hAnsi="Times New Roman"/>
          <w:sz w:val="24"/>
        </w:rPr>
        <w:t>российское население и отдельные социальные группы (бедные, старшее поколение, мигранты и др.).</w:t>
      </w:r>
      <w:r w:rsidR="00F8403B" w:rsidRPr="00CE04DE">
        <w:rPr>
          <w:rFonts w:ascii="Times New Roman" w:hAnsi="Times New Roman"/>
          <w:sz w:val="24"/>
        </w:rPr>
        <w:t xml:space="preserve">, </w:t>
      </w:r>
      <w:r w:rsidR="00F8403B" w:rsidRPr="00CE04DE">
        <w:rPr>
          <w:rFonts w:ascii="Times New Roman" w:hAnsi="Times New Roman"/>
          <w:b/>
          <w:sz w:val="24"/>
        </w:rPr>
        <w:t>предметом</w:t>
      </w:r>
      <w:r w:rsidR="00F8403B" w:rsidRPr="00CE04DE">
        <w:rPr>
          <w:rFonts w:ascii="Times New Roman" w:hAnsi="Times New Roman"/>
          <w:sz w:val="24"/>
        </w:rPr>
        <w:t xml:space="preserve"> – </w:t>
      </w:r>
      <w:r w:rsidR="006F301B" w:rsidRPr="006F301B">
        <w:rPr>
          <w:rFonts w:ascii="Times New Roman" w:hAnsi="Times New Roman"/>
          <w:sz w:val="24"/>
        </w:rPr>
        <w:t>уровень и качество жизни, модели социальной стратификации, в том числе в условиях пандемии и санкционного давления.</w:t>
      </w:r>
    </w:p>
    <w:p w14:paraId="59D1929A" w14:textId="30E07C5B" w:rsidR="00CD08B7" w:rsidRPr="00BE5F5F" w:rsidRDefault="00CD08B7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E04DE">
        <w:rPr>
          <w:rFonts w:ascii="Times New Roman" w:hAnsi="Times New Roman"/>
          <w:b/>
          <w:sz w:val="24"/>
        </w:rPr>
        <w:t>Цель работы</w:t>
      </w:r>
      <w:r w:rsidR="00CE04DE" w:rsidRPr="00CE04DE">
        <w:rPr>
          <w:rFonts w:ascii="Times New Roman" w:hAnsi="Times New Roman"/>
          <w:b/>
          <w:sz w:val="24"/>
        </w:rPr>
        <w:t xml:space="preserve"> -</w:t>
      </w:r>
      <w:r w:rsidRPr="00CE04DE">
        <w:rPr>
          <w:rFonts w:ascii="Times New Roman" w:hAnsi="Times New Roman"/>
          <w:sz w:val="24"/>
        </w:rPr>
        <w:t xml:space="preserve"> </w:t>
      </w:r>
      <w:r w:rsidR="006F301B" w:rsidRPr="006F301B">
        <w:rPr>
          <w:rFonts w:ascii="Times New Roman" w:hAnsi="Times New Roman"/>
          <w:sz w:val="24"/>
        </w:rPr>
        <w:t>исследовать динамику уровня и качества жизни российского населения и отдельных социальных групп (бедные, старшее поколение, мигранты и др.) и моделей социальной стратификации российского общества на разных этапах макроэкономического развития, включая их трансформацию в условиях пандемии и санкционного давления.</w:t>
      </w:r>
    </w:p>
    <w:p w14:paraId="57F206B2" w14:textId="22069802" w:rsidR="00CE04DE" w:rsidRPr="00CE04DE" w:rsidRDefault="00CD08B7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  <w:r w:rsidRPr="00CE04DE">
        <w:rPr>
          <w:rFonts w:ascii="Times New Roman" w:hAnsi="Times New Roman"/>
          <w:b/>
          <w:sz w:val="24"/>
        </w:rPr>
        <w:t xml:space="preserve">Используемые методы: </w:t>
      </w:r>
      <w:r w:rsidR="00CE04DE" w:rsidRPr="00CE04DE">
        <w:rPr>
          <w:rFonts w:ascii="Times New Roman" w:hAnsi="Times New Roman"/>
          <w:sz w:val="24"/>
        </w:rPr>
        <w:t>исследование является междисциплинарным и опирается на теоретические подходы и методологию социологии, социальной антропологии и экономики</w:t>
      </w:r>
      <w:r w:rsidR="00CE04DE">
        <w:rPr>
          <w:rFonts w:ascii="Times New Roman" w:hAnsi="Times New Roman"/>
          <w:sz w:val="24"/>
        </w:rPr>
        <w:t xml:space="preserve">; в рамках работы используются такие исследовательские методы, как </w:t>
      </w:r>
      <w:r w:rsidR="00CE04DE" w:rsidRPr="00CE04DE">
        <w:rPr>
          <w:rFonts w:ascii="Times New Roman" w:hAnsi="Times New Roman"/>
          <w:sz w:val="24"/>
        </w:rPr>
        <w:t xml:space="preserve">кабинетное исследование, теоретико-методологический анализ российских и зарубежных публикаций, анализ нормативно-правовых документов, </w:t>
      </w:r>
      <w:r w:rsidR="006F301B">
        <w:rPr>
          <w:rFonts w:ascii="Times New Roman" w:hAnsi="Times New Roman"/>
          <w:sz w:val="24"/>
        </w:rPr>
        <w:t xml:space="preserve">индексный метод, </w:t>
      </w:r>
      <w:r w:rsidR="00CE04DE" w:rsidRPr="00CE04DE">
        <w:rPr>
          <w:rFonts w:ascii="Times New Roman" w:hAnsi="Times New Roman"/>
          <w:sz w:val="24"/>
        </w:rPr>
        <w:t>описательный и многомерный статистический и эконометрический анализ данных выборочных обследований населения</w:t>
      </w:r>
      <w:r w:rsidR="006F301B">
        <w:rPr>
          <w:rFonts w:ascii="Times New Roman" w:hAnsi="Times New Roman"/>
          <w:sz w:val="24"/>
        </w:rPr>
        <w:t xml:space="preserve"> (включая </w:t>
      </w:r>
      <w:r w:rsidR="006F301B" w:rsidRPr="006F301B">
        <w:rPr>
          <w:rFonts w:ascii="Times New Roman" w:hAnsi="Times New Roman"/>
          <w:sz w:val="24"/>
        </w:rPr>
        <w:t>методы когортного анализа</w:t>
      </w:r>
      <w:r w:rsidR="006F301B">
        <w:rPr>
          <w:rFonts w:ascii="Times New Roman" w:hAnsi="Times New Roman"/>
          <w:sz w:val="24"/>
        </w:rPr>
        <w:t>)</w:t>
      </w:r>
      <w:r w:rsidR="00CE04DE" w:rsidRPr="00CE04DE">
        <w:rPr>
          <w:rFonts w:ascii="Times New Roman" w:hAnsi="Times New Roman"/>
          <w:sz w:val="24"/>
        </w:rPr>
        <w:t>, социально-антропологические методы полевых исследований и анализа качественных данных и др</w:t>
      </w:r>
      <w:r w:rsidR="00BE5F5F">
        <w:rPr>
          <w:rFonts w:ascii="Times New Roman" w:hAnsi="Times New Roman"/>
          <w:sz w:val="24"/>
        </w:rPr>
        <w:t>.</w:t>
      </w:r>
    </w:p>
    <w:p w14:paraId="7AF7B1F4" w14:textId="22B2C59D" w:rsidR="00BE5F5F" w:rsidRPr="00BE5F5F" w:rsidRDefault="005843D3" w:rsidP="00A27D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highlight w:val="yellow"/>
        </w:rPr>
      </w:pPr>
      <w:r w:rsidRPr="00BE5F5F">
        <w:rPr>
          <w:rFonts w:ascii="Times New Roman" w:hAnsi="Times New Roman"/>
          <w:b/>
          <w:sz w:val="24"/>
        </w:rPr>
        <w:t>Эмпирическая база исследования:</w:t>
      </w:r>
      <w:r w:rsidR="00CD08B7" w:rsidRPr="00BE5F5F">
        <w:rPr>
          <w:rFonts w:ascii="Times New Roman" w:hAnsi="Times New Roman"/>
          <w:b/>
          <w:sz w:val="24"/>
        </w:rPr>
        <w:t xml:space="preserve"> </w:t>
      </w:r>
      <w:r w:rsidR="00BE5F5F" w:rsidRPr="00BE5F5F">
        <w:rPr>
          <w:rFonts w:ascii="Times New Roman" w:hAnsi="Times New Roman"/>
          <w:sz w:val="24"/>
        </w:rPr>
        <w:t>данные</w:t>
      </w:r>
      <w:r w:rsidR="00BE5F5F" w:rsidRPr="00BE5F5F">
        <w:rPr>
          <w:rFonts w:ascii="Times New Roman" w:hAnsi="Times New Roman"/>
          <w:b/>
          <w:sz w:val="24"/>
        </w:rPr>
        <w:t xml:space="preserve"> </w:t>
      </w:r>
      <w:r w:rsidR="00BE5F5F" w:rsidRPr="00BE5F5F">
        <w:rPr>
          <w:rFonts w:ascii="Times New Roman" w:hAnsi="Times New Roman"/>
          <w:sz w:val="24"/>
        </w:rPr>
        <w:t>Российского мониторинга экономического положения и здор</w:t>
      </w:r>
      <w:r w:rsidR="00BE5F5F">
        <w:rPr>
          <w:rFonts w:ascii="Times New Roman" w:hAnsi="Times New Roman"/>
          <w:sz w:val="24"/>
        </w:rPr>
        <w:t>овья населения НИУ ВШЭ (</w:t>
      </w:r>
      <w:r w:rsidR="00BE5F5F" w:rsidRPr="00BE5F5F">
        <w:rPr>
          <w:rFonts w:ascii="Times New Roman" w:hAnsi="Times New Roman"/>
          <w:sz w:val="24"/>
        </w:rPr>
        <w:t>РМЭЗ НИУ ВШЭ)</w:t>
      </w:r>
      <w:r w:rsidR="00BE5F5F">
        <w:rPr>
          <w:rFonts w:ascii="Times New Roman" w:hAnsi="Times New Roman"/>
          <w:sz w:val="24"/>
        </w:rPr>
        <w:t xml:space="preserve">, </w:t>
      </w:r>
      <w:r w:rsidR="006F301B">
        <w:rPr>
          <w:rFonts w:ascii="Times New Roman" w:hAnsi="Times New Roman"/>
          <w:sz w:val="24"/>
        </w:rPr>
        <w:t xml:space="preserve">мониторингового обследования ИСП ВШЭ «Готовность к переменам», </w:t>
      </w:r>
      <w:r w:rsidR="00BE5F5F" w:rsidRPr="00BE5F5F">
        <w:rPr>
          <w:rFonts w:ascii="Times New Roman" w:hAnsi="Times New Roman"/>
          <w:sz w:val="24"/>
        </w:rPr>
        <w:t>обследований Института социологии ФНИСЦ РАН,</w:t>
      </w:r>
      <w:r w:rsidR="00BE5F5F">
        <w:rPr>
          <w:rFonts w:ascii="Times New Roman" w:hAnsi="Times New Roman"/>
          <w:sz w:val="24"/>
        </w:rPr>
        <w:t xml:space="preserve"> Международной программы</w:t>
      </w:r>
      <w:r w:rsidR="00BE5F5F" w:rsidRPr="00BE5F5F">
        <w:rPr>
          <w:rFonts w:ascii="Times New Roman" w:hAnsi="Times New Roman"/>
          <w:sz w:val="24"/>
        </w:rPr>
        <w:t xml:space="preserve"> социальных исследований </w:t>
      </w:r>
      <w:r w:rsidR="00BE5F5F">
        <w:rPr>
          <w:rFonts w:ascii="Times New Roman" w:hAnsi="Times New Roman"/>
          <w:sz w:val="24"/>
        </w:rPr>
        <w:t>(</w:t>
      </w:r>
      <w:r w:rsidR="00BE5F5F" w:rsidRPr="00BE5F5F">
        <w:rPr>
          <w:rFonts w:ascii="Times New Roman" w:hAnsi="Times New Roman"/>
          <w:sz w:val="24"/>
        </w:rPr>
        <w:t>ISSP</w:t>
      </w:r>
      <w:r w:rsidR="00BE5F5F">
        <w:rPr>
          <w:rFonts w:ascii="Times New Roman" w:hAnsi="Times New Roman"/>
          <w:sz w:val="24"/>
        </w:rPr>
        <w:t xml:space="preserve">). </w:t>
      </w:r>
    </w:p>
    <w:p w14:paraId="0B72CEF0" w14:textId="77777777" w:rsidR="00F33212" w:rsidRPr="003F2F4D" w:rsidRDefault="00F33212" w:rsidP="00A27D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F2F4D">
        <w:rPr>
          <w:rFonts w:ascii="Times New Roman" w:hAnsi="Times New Roman"/>
          <w:b/>
          <w:sz w:val="24"/>
        </w:rPr>
        <w:t>Результаты работы:</w:t>
      </w:r>
    </w:p>
    <w:p w14:paraId="62EA9EF3" w14:textId="77777777" w:rsidR="006F301B" w:rsidRP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>Модели социальной стратификации как по доходам, так и по жизненным шансам и рискам, демонстрирующие специфику монетарных и немонетарных неравенств в стране, не продемонстрировали в последние годы качественных изменений, что говорит об их сформированности и устойчивости. Обе они позволяют охарактеризовать сегодняшнее российское общество как общество массовых средних слоев, но не массового среднего класса. Массовость «середины» увеличивается не только за счет подтягивания к ней части нижних слоев, но и за счёт «осыпания» верхних, что сокращает зону массового благополучия в российском обществе, и так небольшую по численности. Такие процессы задают ограничения для расширения ядра среднего класса - как носителя качественного человеческого капитала, обеспечивающего его представителям устойчивые доходы такого уровня, которые позволяют осуществлять потребительский выбор, инвестировать в поддержание и обновление человеческого капитала, практиковать инновационное поведение и пр.</w:t>
      </w:r>
    </w:p>
    <w:p w14:paraId="5DE0B9B3" w14:textId="77777777" w:rsidR="006F301B" w:rsidRP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 xml:space="preserve">Последние годы ознаменовались значительным падением официального уровня бедности. Уровень жизни бедных слоев населения при этом растет, что выражается в сокращении разрыва в доле имеющих различные предметы бытовой техники и электроники среди бедных и небедных. Однако открытым остается вопрос о качестве имеющихся в распоряжении малоимущего населения ресурсов.  При этом бедные по-прежнему ограничены в своих возможностях инвестирования в человеческий капитал, а также чаще других </w:t>
      </w:r>
      <w:r w:rsidRPr="006F301B">
        <w:rPr>
          <w:rFonts w:ascii="Times New Roman" w:hAnsi="Times New Roman"/>
          <w:sz w:val="24"/>
        </w:rPr>
        <w:lastRenderedPageBreak/>
        <w:t xml:space="preserve">демонстрируют отсутствие уверенности в завтрашнем дне и говорят о неудовлетворенности собственной жизнью. Несмотря на отмеченный рост уровня жизни, затрагивающий как бедных, так и небедных, более половины всего населения по-прежнему беспокоится о том, что в ближайшие 12 месяцев не сможет обеспечить себя самым необходимым, и для бедного населения эта проблема стоит наиболее остро. </w:t>
      </w:r>
    </w:p>
    <w:p w14:paraId="1140F7AC" w14:textId="77777777" w:rsidR="006F301B" w:rsidRP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>Результаты исследования проактивности - тех, кто занимает деятельную позицию и претендует на самостоятельность и активность и готов брать ответственность за собственную жизнь – на основе рассчитанного индекса показали, что уровень проактивности повышает наличие высшего образования, проживание в городе, увеличение числа детей в семье, доход. Помимо этого, оказывает влияние наличие партнера или супруга, а также статус того, кто приносит основной доход в домохозяйство. Возраст вносит отрицательный вклад, что, с одной стороны, связано с характером отобранных переменных, в том числе ориентированных на трудовую деятельность индивида, а с другой – поднимает вопрос о важности внимания к молодежи, как группе способной формировать проактивную повестку. Максимальные средние значения индекса отличают тех, кто хотел бы помощи с уходом за детьми-дошкольниками, возможности получения образования и обеспечения жильём. Такое положение очевидно связано с молодыми возрастами в данной группе, но может расцениваться как запрос на помощь в тех областях, которые в первую очередь помогают им реализовывать свою проактивную позицию, выраженную в ориентации на трудовую деятельность и повышение качества жизни. Таким образом, при работе с подобными группами населения надо понимать, что акцент может быть сделан на том, что приводит к повышению уровня человеческого капитала и качества жизни, помогая проактивному населению заботиться о себе самостоятельно.</w:t>
      </w:r>
    </w:p>
    <w:p w14:paraId="046A4DB1" w14:textId="77777777" w:rsidR="006F301B" w:rsidRP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>Результаты анализа динамики уровня жизни пожилого населения за последние 10 лет, выполненные на данных РМЭЗ ВШЭ, демонстрируют, что, по сравнению с 2013 г., следующие годы характеризуются большими рисками попадания лиц в возрасте 50 лет и старше в категорию малоимущего населения, особенно – 2020-2022 гг., при этом шансы быть малообеспеченными ниже для лиц со средним специальным и высшим образованием. Занятость повышает шансы на удовлетворенность материальным положением среди женщин, на позитивную оценку изменений в материальном положении семьи за последний год и снижает шансы на принадлежность к группе малоимущего населения. Получение пенсии – особенно среди мужчин – способствует значимому снижению шансов на попадание в категорию малоимущего населения. Уровни индивидуального и среднедушевого домохозяйственного доходов значимо положительно связаны с самооценкой материального положения; при этом в субъективный социально-экономический статус женщин больший вклад вносят доходы семьи в целом, мужчин – личные, включающие зарплату, пенсии, премии, прибыли, пособия, материальную помощь, случайные заработки и другие денежные поступления.</w:t>
      </w:r>
    </w:p>
    <w:p w14:paraId="7D33285C" w14:textId="77777777" w:rsidR="006F301B" w:rsidRP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>Анализ субъективного благополучия в старшем возрасте с выделением эффектов возраста, периода и когорты на данных РМЭЗ НИУ ВШЭ в 1994-2022 гг., позволил выявить положительное и значимое влияние возраста. Эффект периода также оказался статистически значим и показал наличие связи субъективного благополучия с событиями экономического цикла. Для рассмотрения эффекта когорты были построены отдельные модели для мужчин и женщин. Эффект когорты оказался менее значимым, чем предыдущие.</w:t>
      </w:r>
    </w:p>
    <w:p w14:paraId="2EA03FF1" w14:textId="77777777" w:rsidR="006F301B" w:rsidRP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 xml:space="preserve">Сравнительный  анализ влияния трех экономических рецессий современной России с 2000-ого года на различные показатели благополучия и неблагополучия в старшем возрасте показал, что в период кризиса 2008-2009 года при контроле других переменных материальное благополучие и удовлетворенность жизнью в целом улучшились, а в послекризисный период </w:t>
      </w:r>
      <w:r w:rsidRPr="006F301B">
        <w:rPr>
          <w:rFonts w:ascii="Times New Roman" w:hAnsi="Times New Roman"/>
          <w:sz w:val="24"/>
        </w:rPr>
        <w:lastRenderedPageBreak/>
        <w:t>положительная динамика материального и субъективного благополучия сохранилась. Кризис 2014-2015 года выделяется разнонаправленной динамикой изучаемых показателей: снижением показателей материального благополучия на фоне повышения показателей субъективной оценки здоровья и удовлетворенности жизни. При этом значимые различия с докризисным периодом для материального благополучия и субъективного благополучия обнаруживаются с некоторым лагом. По сравнению с докризисным 2019 г. данные РМЭЗ показывают отсутствие явной динамики в показателях здоровья, и улучшение материального положения и субъективного благополучия пожилых в 2020 году и в 2022 году. При контроле других переменных события последних лет не оказали значимого влияния на качество жизни пожилых. Однако эффекты турбулентности последних лет - кризиса, вызванного пандемией коронавируса, и шока от санкционного давления в связи с СВО - на имеющихся данных могли еще не проявиться в силу их недостаточной удаленности во времени.</w:t>
      </w:r>
    </w:p>
    <w:p w14:paraId="29E04DC4" w14:textId="77777777" w:rsidR="006F301B" w:rsidRDefault="006F301B" w:rsidP="006F301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301B">
        <w:rPr>
          <w:rFonts w:ascii="Times New Roman" w:hAnsi="Times New Roman"/>
          <w:sz w:val="24"/>
        </w:rPr>
        <w:t>Хотя Правительством РФ в последние годы велась активная работа по импортозамещению лекарств, результаты проведенного на данных РМЭЗ НИУ ВШЭ исследования показывают, что в 2022 году население все еще активно использовало в амбулаторном лечении ввозимые из других стран препараты, и с данными случаями были сопряжены достаточно высокие, сопоставимые с влиянием здоровья человека на доступность лекарств, риски. Индивид, использующий только ввозимые из-за рубежа препараты, по сравнению с теми, кто использует только отечественные препараты, имел в 3,3 более высокий риск того, что не сможет найти лекарство в аптеках и в 2,8 раза более высокий риск наличия прочих - нефинансовых, по-видимому, связанных с льготным лекарственным обеспечением - проблем с приобретением лекарств. Сочетание отечественных с импортными препаратами увеличивала риск отсутствия лекарства в аптеках в 2,4 раза, дефицит средств на приобретения лекарств – в 2,2 раза, прочих проблем – в 2,8 раза. Величина расходов на лечение в доходах жителей России, оставшихся после расходов на продукты питания, по данным РМЭЗ НИУ ВШЭ увеличилась с 7,6% до 8,1%. Показатель возрос во всех квинтильных группах по величине дохода и всех типах поведения. Наиболее значимый рост, на 2,4 п.п. (с 5,4% до 7,8%), наблюдался в городах с численностью населения от 500 тыс. до 1 млн. жителей.</w:t>
      </w:r>
    </w:p>
    <w:p w14:paraId="0BD26EA9" w14:textId="2B71052D" w:rsidR="008744D7" w:rsidRPr="001C1653" w:rsidRDefault="004A533A" w:rsidP="006F301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C1653">
        <w:rPr>
          <w:rFonts w:ascii="Times New Roman" w:hAnsi="Times New Roman"/>
          <w:b/>
          <w:sz w:val="24"/>
        </w:rPr>
        <w:t>Степень внедрения, рекомендации по внедрению или итоги внедрения результатов НИР:</w:t>
      </w:r>
    </w:p>
    <w:p w14:paraId="22EBF59B" w14:textId="6D55EB74" w:rsidR="000E50B2" w:rsidRPr="001C1653" w:rsidRDefault="006F301B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C1653">
        <w:rPr>
          <w:rFonts w:ascii="Times New Roman" w:hAnsi="Times New Roman"/>
          <w:sz w:val="24"/>
        </w:rPr>
        <w:t xml:space="preserve">Результаты исследования были представлены на научных и научно-практических мероприятиях, в том числе международных – </w:t>
      </w:r>
      <w:r w:rsidR="001C1653" w:rsidRPr="001C1653">
        <w:rPr>
          <w:rFonts w:ascii="Times New Roman" w:hAnsi="Times New Roman"/>
          <w:sz w:val="24"/>
        </w:rPr>
        <w:t>в России и Узбекистане. Они были положены в основу 13</w:t>
      </w:r>
      <w:r w:rsidRPr="001C1653">
        <w:rPr>
          <w:rFonts w:ascii="Times New Roman" w:hAnsi="Times New Roman"/>
          <w:sz w:val="24"/>
        </w:rPr>
        <w:t xml:space="preserve"> н</w:t>
      </w:r>
      <w:r w:rsidR="001C1653" w:rsidRPr="001C1653">
        <w:rPr>
          <w:rFonts w:ascii="Times New Roman" w:hAnsi="Times New Roman"/>
          <w:sz w:val="24"/>
        </w:rPr>
        <w:t xml:space="preserve">аучных публикаций, </w:t>
      </w:r>
      <w:r w:rsidR="00F33E19">
        <w:rPr>
          <w:rFonts w:ascii="Times New Roman" w:hAnsi="Times New Roman"/>
          <w:sz w:val="24"/>
        </w:rPr>
        <w:t>из которых 11</w:t>
      </w:r>
      <w:bookmarkStart w:id="0" w:name="_GoBack"/>
      <w:bookmarkEnd w:id="0"/>
      <w:r w:rsidRPr="001C1653">
        <w:rPr>
          <w:rFonts w:ascii="Times New Roman" w:hAnsi="Times New Roman"/>
          <w:sz w:val="24"/>
        </w:rPr>
        <w:t xml:space="preserve"> – статьи в журналах, индексируемых в WoS и Scopus.</w:t>
      </w:r>
    </w:p>
    <w:p w14:paraId="5139F53A" w14:textId="0EB4C231" w:rsidR="00387224" w:rsidRPr="00F6367E" w:rsidRDefault="00A27D6C" w:rsidP="00F6367E">
      <w:pPr>
        <w:pStyle w:val="a8"/>
        <w:ind w:firstLine="709"/>
        <w:outlineLvl w:val="0"/>
        <w:rPr>
          <w:sz w:val="24"/>
          <w:szCs w:val="24"/>
        </w:rPr>
      </w:pPr>
      <w:r w:rsidRPr="001C1653">
        <w:rPr>
          <w:b/>
          <w:sz w:val="24"/>
          <w:szCs w:val="24"/>
        </w:rPr>
        <w:t>Область применения</w:t>
      </w:r>
      <w:r w:rsidRPr="001C1653">
        <w:rPr>
          <w:sz w:val="24"/>
          <w:szCs w:val="24"/>
        </w:rPr>
        <w:t xml:space="preserve">: </w:t>
      </w:r>
      <w:r w:rsidR="006F301B" w:rsidRPr="001C1653">
        <w:rPr>
          <w:sz w:val="24"/>
          <w:szCs w:val="24"/>
        </w:rPr>
        <w:t>Результаты работы, представленные</w:t>
      </w:r>
      <w:r w:rsidR="006F301B" w:rsidRPr="006F301B">
        <w:rPr>
          <w:sz w:val="24"/>
          <w:szCs w:val="24"/>
        </w:rPr>
        <w:t xml:space="preserve"> в настоящем отчете, могут быть использованы для консультирования органов государственной власти по вопросам оценки и мониторинга уровня и качества жизни российского населения и отдельных социальных групп, оценки социально-экономических последствий пандемии в России, анализа и совершенствования действующего и разрабатываемого законодательства в области налоговой и социальной политики, в работе Министерства труда и социальной защиты РФ, Министерства экономического развития РФ, Министерства здравоохранения РФ, Федеральной службы государственной статистики.</w:t>
      </w:r>
    </w:p>
    <w:sectPr w:rsidR="00387224" w:rsidRPr="00F6367E" w:rsidSect="001312C0">
      <w:footerReference w:type="default" r:id="rId10"/>
      <w:pgSz w:w="12240" w:h="15840"/>
      <w:pgMar w:top="1134" w:right="850" w:bottom="1134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437E92A" w16cex:dateUtc="2023-12-01T2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434A1F" w16cid:durableId="3437E9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631C9" w14:textId="77777777" w:rsidR="005044EE" w:rsidRDefault="005044EE" w:rsidP="00A27D6C">
      <w:pPr>
        <w:spacing w:after="0" w:line="240" w:lineRule="auto"/>
      </w:pPr>
      <w:r>
        <w:separator/>
      </w:r>
    </w:p>
  </w:endnote>
  <w:endnote w:type="continuationSeparator" w:id="0">
    <w:p w14:paraId="1AB4D5E2" w14:textId="77777777" w:rsidR="005044EE" w:rsidRDefault="005044EE" w:rsidP="00A27D6C">
      <w:pPr>
        <w:spacing w:after="0" w:line="240" w:lineRule="auto"/>
      </w:pPr>
      <w:r>
        <w:continuationSeparator/>
      </w:r>
    </w:p>
  </w:endnote>
  <w:endnote w:type="continuationNotice" w:id="1">
    <w:p w14:paraId="4C95BDFC" w14:textId="77777777" w:rsidR="005044EE" w:rsidRDefault="005044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E7FD" w14:textId="2862D20D" w:rsidR="00A27D6C" w:rsidRPr="00A27D6C" w:rsidRDefault="001312C0" w:rsidP="00A27D6C">
    <w:pPr>
      <w:pStyle w:val="a6"/>
      <w:jc w:val="center"/>
      <w:rPr>
        <w:rFonts w:ascii="Times New Roman" w:hAnsi="Times New Roman"/>
        <w:sz w:val="24"/>
      </w:rPr>
    </w:pPr>
    <w:r w:rsidRPr="00A27D6C">
      <w:rPr>
        <w:rFonts w:ascii="Times New Roman" w:hAnsi="Times New Roman"/>
        <w:sz w:val="24"/>
      </w:rPr>
      <w:fldChar w:fldCharType="begin"/>
    </w:r>
    <w:r w:rsidR="00A27D6C" w:rsidRPr="00A27D6C">
      <w:rPr>
        <w:rFonts w:ascii="Times New Roman" w:hAnsi="Times New Roman"/>
        <w:sz w:val="24"/>
      </w:rPr>
      <w:instrText>PAGE   \* MERGEFORMAT</w:instrText>
    </w:r>
    <w:r w:rsidRPr="00A27D6C">
      <w:rPr>
        <w:rFonts w:ascii="Times New Roman" w:hAnsi="Times New Roman"/>
        <w:sz w:val="24"/>
      </w:rPr>
      <w:fldChar w:fldCharType="separate"/>
    </w:r>
    <w:r w:rsidR="00F33E19">
      <w:rPr>
        <w:rFonts w:ascii="Times New Roman" w:hAnsi="Times New Roman"/>
        <w:noProof/>
        <w:sz w:val="24"/>
      </w:rPr>
      <w:t>3</w:t>
    </w:r>
    <w:r w:rsidRPr="00A27D6C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D7FE5" w14:textId="77777777" w:rsidR="005044EE" w:rsidRDefault="005044EE" w:rsidP="00A27D6C">
      <w:pPr>
        <w:spacing w:after="0" w:line="240" w:lineRule="auto"/>
      </w:pPr>
      <w:r>
        <w:separator/>
      </w:r>
    </w:p>
  </w:footnote>
  <w:footnote w:type="continuationSeparator" w:id="0">
    <w:p w14:paraId="7EE15126" w14:textId="77777777" w:rsidR="005044EE" w:rsidRDefault="005044EE" w:rsidP="00A27D6C">
      <w:pPr>
        <w:spacing w:after="0" w:line="240" w:lineRule="auto"/>
      </w:pPr>
      <w:r>
        <w:continuationSeparator/>
      </w:r>
    </w:p>
  </w:footnote>
  <w:footnote w:type="continuationNotice" w:id="1">
    <w:p w14:paraId="1FD0CC44" w14:textId="77777777" w:rsidR="005044EE" w:rsidRDefault="005044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429F"/>
    <w:multiLevelType w:val="hybridMultilevel"/>
    <w:tmpl w:val="067AC1DE"/>
    <w:lvl w:ilvl="0" w:tplc="A0BCB7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17442DB"/>
    <w:multiLevelType w:val="hybridMultilevel"/>
    <w:tmpl w:val="25685566"/>
    <w:lvl w:ilvl="0" w:tplc="66844A6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1DF"/>
    <w:multiLevelType w:val="hybridMultilevel"/>
    <w:tmpl w:val="F4A4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5058"/>
    <w:multiLevelType w:val="hybridMultilevel"/>
    <w:tmpl w:val="9BB2A2EE"/>
    <w:lvl w:ilvl="0" w:tplc="66844A68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TI0MzMytzA1NTJQ0lEKTi0uzszPAykwrgUAt1qwXiwAAAA="/>
  </w:docVars>
  <w:rsids>
    <w:rsidRoot w:val="004D1326"/>
    <w:rsid w:val="00083E46"/>
    <w:rsid w:val="00096626"/>
    <w:rsid w:val="000A4A96"/>
    <w:rsid w:val="000B07E4"/>
    <w:rsid w:val="000E50B2"/>
    <w:rsid w:val="00112453"/>
    <w:rsid w:val="00130292"/>
    <w:rsid w:val="001312C0"/>
    <w:rsid w:val="00131CAC"/>
    <w:rsid w:val="00134CEC"/>
    <w:rsid w:val="00170D6D"/>
    <w:rsid w:val="001753D1"/>
    <w:rsid w:val="001803EC"/>
    <w:rsid w:val="00184110"/>
    <w:rsid w:val="001C1653"/>
    <w:rsid w:val="001E1C82"/>
    <w:rsid w:val="00202AFE"/>
    <w:rsid w:val="00215BF9"/>
    <w:rsid w:val="00225938"/>
    <w:rsid w:val="00227BFF"/>
    <w:rsid w:val="00233C39"/>
    <w:rsid w:val="002353C8"/>
    <w:rsid w:val="00240074"/>
    <w:rsid w:val="002472AA"/>
    <w:rsid w:val="00271671"/>
    <w:rsid w:val="003076C7"/>
    <w:rsid w:val="00317B6F"/>
    <w:rsid w:val="0033408E"/>
    <w:rsid w:val="003850B7"/>
    <w:rsid w:val="00387224"/>
    <w:rsid w:val="003C2D1A"/>
    <w:rsid w:val="003F2F4D"/>
    <w:rsid w:val="00422419"/>
    <w:rsid w:val="004726E4"/>
    <w:rsid w:val="00486CFB"/>
    <w:rsid w:val="004A460B"/>
    <w:rsid w:val="004A533A"/>
    <w:rsid w:val="004B1E42"/>
    <w:rsid w:val="004D1326"/>
    <w:rsid w:val="004F5E54"/>
    <w:rsid w:val="005044EE"/>
    <w:rsid w:val="005843D3"/>
    <w:rsid w:val="005F303A"/>
    <w:rsid w:val="006A560D"/>
    <w:rsid w:val="006F301B"/>
    <w:rsid w:val="006F522E"/>
    <w:rsid w:val="00712E20"/>
    <w:rsid w:val="00747620"/>
    <w:rsid w:val="0078561C"/>
    <w:rsid w:val="00794CA3"/>
    <w:rsid w:val="007B3CB4"/>
    <w:rsid w:val="007E030F"/>
    <w:rsid w:val="0080615F"/>
    <w:rsid w:val="008744D7"/>
    <w:rsid w:val="00876389"/>
    <w:rsid w:val="008E5D7D"/>
    <w:rsid w:val="00967DBD"/>
    <w:rsid w:val="00994B0B"/>
    <w:rsid w:val="009955F3"/>
    <w:rsid w:val="009E19E4"/>
    <w:rsid w:val="00A27D6C"/>
    <w:rsid w:val="00A55A21"/>
    <w:rsid w:val="00A57CFA"/>
    <w:rsid w:val="00A60CCA"/>
    <w:rsid w:val="00A766CE"/>
    <w:rsid w:val="00AF0CCD"/>
    <w:rsid w:val="00B474AD"/>
    <w:rsid w:val="00BE1218"/>
    <w:rsid w:val="00BE5F5F"/>
    <w:rsid w:val="00BF11F6"/>
    <w:rsid w:val="00BF53C6"/>
    <w:rsid w:val="00C23DAE"/>
    <w:rsid w:val="00C47FFA"/>
    <w:rsid w:val="00C812C2"/>
    <w:rsid w:val="00CD08B7"/>
    <w:rsid w:val="00CE04DE"/>
    <w:rsid w:val="00CE65B7"/>
    <w:rsid w:val="00D225FF"/>
    <w:rsid w:val="00D30D29"/>
    <w:rsid w:val="00D75C16"/>
    <w:rsid w:val="00DC4C85"/>
    <w:rsid w:val="00E011D1"/>
    <w:rsid w:val="00E16EBE"/>
    <w:rsid w:val="00E2058D"/>
    <w:rsid w:val="00E27F59"/>
    <w:rsid w:val="00E56AAE"/>
    <w:rsid w:val="00E95C91"/>
    <w:rsid w:val="00EC12B2"/>
    <w:rsid w:val="00F20AD8"/>
    <w:rsid w:val="00F33212"/>
    <w:rsid w:val="00F33E19"/>
    <w:rsid w:val="00F6367E"/>
    <w:rsid w:val="00F6413B"/>
    <w:rsid w:val="00F81419"/>
    <w:rsid w:val="00F8403B"/>
    <w:rsid w:val="00F86655"/>
    <w:rsid w:val="00F86A66"/>
    <w:rsid w:val="00F95B38"/>
    <w:rsid w:val="00FD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CFE8"/>
  <w15:docId w15:val="{420542C1-645A-4C33-B2EA-4D52A91B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D1326"/>
    <w:pPr>
      <w:widowControl w:val="0"/>
      <w:autoSpaceDE w:val="0"/>
      <w:autoSpaceDN w:val="0"/>
    </w:pPr>
    <w:rPr>
      <w:rFonts w:ascii="NTTimes/Cyrillic" w:eastAsia="Times New Roman" w:hAnsi="NTTimes/Cyrillic"/>
    </w:rPr>
  </w:style>
  <w:style w:type="paragraph" w:styleId="a4">
    <w:name w:val="header"/>
    <w:basedOn w:val="a"/>
    <w:link w:val="a5"/>
    <w:uiPriority w:val="99"/>
    <w:unhideWhenUsed/>
    <w:rsid w:val="00A27D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D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7D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27D6C"/>
    <w:rPr>
      <w:sz w:val="22"/>
      <w:szCs w:val="22"/>
      <w:lang w:eastAsia="en-US"/>
    </w:rPr>
  </w:style>
  <w:style w:type="paragraph" w:styleId="a8">
    <w:name w:val="Body Text Indent"/>
    <w:basedOn w:val="a"/>
    <w:link w:val="a9"/>
    <w:unhideWhenUsed/>
    <w:rsid w:val="00A27D6C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link w:val="a8"/>
    <w:rsid w:val="00A27D6C"/>
    <w:rPr>
      <w:rFonts w:ascii="Times New Roman" w:eastAsia="Times New Roman" w:hAnsi="Times New Roman"/>
    </w:rPr>
  </w:style>
  <w:style w:type="character" w:styleId="aa">
    <w:name w:val="annotation reference"/>
    <w:uiPriority w:val="99"/>
    <w:semiHidden/>
    <w:unhideWhenUsed/>
    <w:rsid w:val="00F8403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F8403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rsid w:val="00F8403B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8403B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8403B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8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F8403B"/>
    <w:rPr>
      <w:rFonts w:ascii="Segoe UI" w:hAnsi="Segoe UI" w:cs="Segoe UI"/>
      <w:sz w:val="18"/>
      <w:szCs w:val="18"/>
      <w:lang w:eastAsia="en-US"/>
    </w:rPr>
  </w:style>
  <w:style w:type="paragraph" w:customStyle="1" w:styleId="123">
    <w:name w:val="123_текст"/>
    <w:basedOn w:val="a"/>
    <w:link w:val="1230"/>
    <w:qFormat/>
    <w:rsid w:val="009E19E4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1230">
    <w:name w:val="123_текст Знак"/>
    <w:link w:val="123"/>
    <w:locked/>
    <w:rsid w:val="009E19E4"/>
    <w:rPr>
      <w:rFonts w:ascii="Times New Roman" w:hAnsi="Times New Roman"/>
      <w:sz w:val="24"/>
      <w:szCs w:val="24"/>
      <w:lang w:eastAsia="en-US"/>
    </w:rPr>
  </w:style>
  <w:style w:type="paragraph" w:styleId="af1">
    <w:name w:val="Revision"/>
    <w:hidden/>
    <w:uiPriority w:val="99"/>
    <w:semiHidden/>
    <w:rsid w:val="00D225F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48534BB51FC440962E07CC678D8C96" ma:contentTypeVersion="4" ma:contentTypeDescription="Создание документа." ma:contentTypeScope="" ma:versionID="0991747901334f30cc76c3c836313b8a">
  <xsd:schema xmlns:xsd="http://www.w3.org/2001/XMLSchema" xmlns:xs="http://www.w3.org/2001/XMLSchema" xmlns:p="http://schemas.microsoft.com/office/2006/metadata/properties" xmlns:ns2="9aa8f59b-79f4-479e-aea3-270cdedd7bef" targetNamespace="http://schemas.microsoft.com/office/2006/metadata/properties" ma:root="true" ma:fieldsID="a6d9a8bc9fd685ed644068d8c4a28f61" ns2:_="">
    <xsd:import namespace="9aa8f59b-79f4-479e-aea3-270cdedd7b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8f59b-79f4-479e-aea3-270cdedd7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29A99-6C71-442E-80D2-AF311E563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D7A14-BAB2-4DBF-8A55-C7B348B8F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8f59b-79f4-479e-aea3-270cdedd7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6D4FFC-1313-43F2-A0B1-45B19BF4B1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aaerm</dc:creator>
  <cp:lastModifiedBy>Екатерина</cp:lastModifiedBy>
  <cp:revision>3</cp:revision>
  <dcterms:created xsi:type="dcterms:W3CDTF">2023-12-04T05:40:00Z</dcterms:created>
  <dcterms:modified xsi:type="dcterms:W3CDTF">2023-12-04T05:48:00Z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amsChannelId">
    <vt:lpwstr/>
  </property>
  <property fmtid="{D5CDD505-2E9C-101B-9397-08002B2CF9AE}" pid="3" name="FolderType">
    <vt:lpwstr/>
  </property>
  <property fmtid="{D5CDD505-2E9C-101B-9397-08002B2CF9AE}" pid="4" name="CultureName">
    <vt:lpwstr/>
  </property>
  <property fmtid="{D5CDD505-2E9C-101B-9397-08002B2CF9AE}" pid="5" name="AppVersion">
    <vt:lpwstr/>
  </property>
  <property fmtid="{D5CDD505-2E9C-101B-9397-08002B2CF9AE}" pid="6" name="NotebookType">
    <vt:lpwstr/>
  </property>
</Properties>
</file>