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B1" w:rsidRDefault="001B3B3A" w:rsidP="00B95480">
      <w:pPr>
        <w:spacing w:line="240" w:lineRule="auto"/>
        <w:jc w:val="center"/>
        <w:rPr>
          <w:rFonts w:eastAsia="Times New Roman"/>
          <w:b/>
          <w:lang w:eastAsia="ru-RU"/>
        </w:rPr>
      </w:pPr>
      <w:r w:rsidRPr="001B3B3A">
        <w:rPr>
          <w:rFonts w:eastAsia="Times New Roman"/>
          <w:b/>
          <w:lang w:eastAsia="ru-RU"/>
        </w:rPr>
        <w:t>Аннотация</w:t>
      </w:r>
    </w:p>
    <w:p w:rsidR="001B3B3A" w:rsidRDefault="001B3B3A" w:rsidP="00B95480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1B3B3A" w:rsidRDefault="001B3B3A" w:rsidP="00B95480">
      <w:pPr>
        <w:spacing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ТЗ-145</w:t>
      </w:r>
    </w:p>
    <w:p w:rsidR="001B3B3A" w:rsidRDefault="001B3B3A" w:rsidP="00B95480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1B3B3A" w:rsidRDefault="001B3B3A" w:rsidP="00B95480">
      <w:pPr>
        <w:spacing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Тема: «Разработка рекомендаций по мерам развития культурной политики»</w:t>
      </w:r>
    </w:p>
    <w:p w:rsidR="001B3B3A" w:rsidRPr="001B3B3A" w:rsidRDefault="001B3B3A" w:rsidP="00B95480">
      <w:pPr>
        <w:spacing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Руководитель: Л.Н. </w:t>
      </w:r>
      <w:proofErr w:type="spellStart"/>
      <w:r>
        <w:rPr>
          <w:rFonts w:eastAsia="Times New Roman"/>
          <w:lang w:eastAsia="ru-RU"/>
        </w:rPr>
        <w:t>Овчарова</w:t>
      </w:r>
      <w:proofErr w:type="spellEnd"/>
      <w:r>
        <w:rPr>
          <w:rFonts w:eastAsia="Times New Roman"/>
          <w:lang w:eastAsia="ru-RU"/>
        </w:rPr>
        <w:t>, д.э.н., директор Института социальной политики; Шульгин П.М., к.э.н., заведующий Центром комплексных региональных программ социально-культурного развития Института социальной политики; Смирнов С.Н., д.э.н., заведующий Центром анализа социальных программ и рисков</w:t>
      </w:r>
      <w:r w:rsidRPr="001B3B3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Института социальной политики; </w:t>
      </w:r>
      <w:proofErr w:type="spellStart"/>
      <w:r>
        <w:rPr>
          <w:rFonts w:eastAsia="Times New Roman"/>
          <w:lang w:eastAsia="ru-RU"/>
        </w:rPr>
        <w:t>Абанкина</w:t>
      </w:r>
      <w:proofErr w:type="spellEnd"/>
      <w:r>
        <w:rPr>
          <w:rFonts w:eastAsia="Times New Roman"/>
          <w:lang w:eastAsia="ru-RU"/>
        </w:rPr>
        <w:t xml:space="preserve"> Т.В., к.э.н., директор Центра государственного сектора экономики Института управления государственными ресурсами</w:t>
      </w:r>
    </w:p>
    <w:p w:rsidR="001B3B3A" w:rsidRDefault="001B3B3A" w:rsidP="00B95480">
      <w:pPr>
        <w:spacing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Наименование подразделения: Институт социальной политики</w:t>
      </w:r>
    </w:p>
    <w:p w:rsidR="001B3B3A" w:rsidRDefault="001B3B3A" w:rsidP="00B95480">
      <w:pPr>
        <w:spacing w:line="240" w:lineRule="auto"/>
        <w:jc w:val="both"/>
        <w:rPr>
          <w:rFonts w:eastAsia="Times New Roman"/>
          <w:lang w:eastAsia="ru-RU"/>
        </w:rPr>
      </w:pPr>
    </w:p>
    <w:p w:rsidR="001B3B3A" w:rsidRDefault="001B3B3A" w:rsidP="00B95480">
      <w:pPr>
        <w:spacing w:line="240" w:lineRule="auto"/>
        <w:ind w:firstLine="709"/>
        <w:jc w:val="both"/>
        <w:rPr>
          <w:iCs/>
        </w:rPr>
      </w:pPr>
      <w:r w:rsidRPr="001B3B3A">
        <w:rPr>
          <w:rFonts w:eastAsia="Times New Roman"/>
          <w:b/>
          <w:lang w:eastAsia="ru-RU"/>
        </w:rPr>
        <w:t>Объектом исследования</w:t>
      </w:r>
      <w:r>
        <w:rPr>
          <w:rFonts w:eastAsia="Times New Roman"/>
          <w:lang w:eastAsia="ru-RU"/>
        </w:rPr>
        <w:t xml:space="preserve"> является</w:t>
      </w:r>
      <w:r w:rsidRPr="001B3B3A">
        <w:rPr>
          <w:iCs/>
        </w:rPr>
        <w:t xml:space="preserve"> </w:t>
      </w:r>
      <w:r w:rsidRPr="00E5612E">
        <w:rPr>
          <w:iCs/>
        </w:rPr>
        <w:t>существующая сфера культурной политики и разработка действенных мер по её совершенствованию</w:t>
      </w:r>
      <w:r>
        <w:rPr>
          <w:iCs/>
        </w:rPr>
        <w:t>.</w:t>
      </w:r>
    </w:p>
    <w:p w:rsidR="001B3B3A" w:rsidRDefault="001B3B3A" w:rsidP="00B95480">
      <w:pPr>
        <w:spacing w:line="240" w:lineRule="auto"/>
        <w:ind w:firstLine="709"/>
        <w:jc w:val="both"/>
        <w:rPr>
          <w:iCs/>
        </w:rPr>
      </w:pPr>
      <w:r w:rsidRPr="001B3B3A">
        <w:rPr>
          <w:b/>
          <w:iCs/>
        </w:rPr>
        <w:t>Цель работы</w:t>
      </w:r>
      <w:r>
        <w:rPr>
          <w:iCs/>
        </w:rPr>
        <w:t xml:space="preserve"> – </w:t>
      </w:r>
      <w:r w:rsidRPr="00E5612E">
        <w:rPr>
          <w:iCs/>
        </w:rPr>
        <w:t xml:space="preserve">разработка рекомендаций по мерам развития культурной политики </w:t>
      </w:r>
      <w:r w:rsidRPr="00E5612E">
        <w:t>на основе всестороннего анализа доступной статистической и нормативно-правовой информации, научной литературы и практического опыта реализации культурных проектов в России и за рубежом</w:t>
      </w:r>
      <w:r w:rsidRPr="00E5612E">
        <w:rPr>
          <w:iCs/>
        </w:rPr>
        <w:t>.</w:t>
      </w:r>
    </w:p>
    <w:p w:rsidR="001B3B3A" w:rsidRDefault="001B3B3A" w:rsidP="00B95480">
      <w:pPr>
        <w:spacing w:line="240" w:lineRule="auto"/>
        <w:ind w:firstLine="709"/>
        <w:jc w:val="both"/>
        <w:rPr>
          <w:bCs/>
        </w:rPr>
      </w:pPr>
      <w:r>
        <w:rPr>
          <w:iCs/>
        </w:rPr>
        <w:t xml:space="preserve">Для достижения цели были использованы следующие </w:t>
      </w:r>
      <w:r w:rsidRPr="001B3B3A">
        <w:rPr>
          <w:b/>
          <w:iCs/>
        </w:rPr>
        <w:t>методы</w:t>
      </w:r>
      <w:r>
        <w:rPr>
          <w:iCs/>
        </w:rPr>
        <w:t xml:space="preserve">: </w:t>
      </w:r>
      <w:r w:rsidR="008D732A">
        <w:rPr>
          <w:iCs/>
        </w:rPr>
        <w:t xml:space="preserve">(а) анализ российских и зарубежных публикаций; (б) экспертиза действующего законодательства; (в) оценка и анализ расходов бюджетной системы Российской Федерации; (г) </w:t>
      </w:r>
      <w:r w:rsidR="008D732A" w:rsidRPr="00E5612E">
        <w:t>полевы</w:t>
      </w:r>
      <w:r w:rsidR="008D732A">
        <w:t>е</w:t>
      </w:r>
      <w:r w:rsidR="008D732A" w:rsidRPr="00E5612E">
        <w:t xml:space="preserve"> исследовани</w:t>
      </w:r>
      <w:r w:rsidR="008D732A">
        <w:t>я</w:t>
      </w:r>
      <w:r w:rsidR="008D732A" w:rsidRPr="00E5612E">
        <w:t xml:space="preserve"> с выездом экспертов в регионы</w:t>
      </w:r>
      <w:r w:rsidR="008D732A">
        <w:t xml:space="preserve">; (д) </w:t>
      </w:r>
      <w:r w:rsidR="008D732A" w:rsidRPr="00E5612E">
        <w:rPr>
          <w:bCs/>
        </w:rPr>
        <w:t>методы качественных социологических исследований (серия экспертных интервью)</w:t>
      </w:r>
      <w:r w:rsidR="008D732A">
        <w:rPr>
          <w:bCs/>
        </w:rPr>
        <w:t>; (е)</w:t>
      </w:r>
      <w:r w:rsidR="008D732A" w:rsidRPr="00E5612E">
        <w:rPr>
          <w:bCs/>
        </w:rPr>
        <w:t xml:space="preserve"> математические методы и построение моделей.</w:t>
      </w:r>
    </w:p>
    <w:p w:rsidR="008D732A" w:rsidRDefault="008D732A" w:rsidP="00B95480">
      <w:pPr>
        <w:spacing w:line="240" w:lineRule="auto"/>
        <w:ind w:firstLine="709"/>
        <w:jc w:val="both"/>
        <w:rPr>
          <w:bCs/>
        </w:rPr>
      </w:pPr>
      <w:r w:rsidRPr="008D732A">
        <w:rPr>
          <w:b/>
          <w:bCs/>
        </w:rPr>
        <w:t>Эмпирическая база исследования</w:t>
      </w:r>
      <w:r>
        <w:rPr>
          <w:bCs/>
        </w:rPr>
        <w:t xml:space="preserve"> включает разнообразные источники информации: научную и экспертную литературу по исследуемой тематике; базу нормативно-правовых актов Российской Федерации; статистические данные Федеральной службы государственной статистики России (Росстата), ОЭСР, ООН, ЮНЕСКО и др., данные бюджетной статистики, публикуемые на сайте Минфина РФ, данные обследований </w:t>
      </w:r>
      <w:r w:rsidR="007114CC">
        <w:rPr>
          <w:bCs/>
        </w:rPr>
        <w:t>бюджетов домашних хозяйств (ОБДХ), данные опросов населения в разных регионах России, проводимых в ходе исследования.</w:t>
      </w:r>
    </w:p>
    <w:p w:rsidR="007114CC" w:rsidRPr="001B3B3A" w:rsidRDefault="007114CC" w:rsidP="00B95480">
      <w:pPr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7114CC">
        <w:rPr>
          <w:b/>
          <w:bCs/>
        </w:rPr>
        <w:t>Результаты исследования</w:t>
      </w:r>
      <w:r>
        <w:rPr>
          <w:bCs/>
        </w:rPr>
        <w:t>:</w:t>
      </w:r>
    </w:p>
    <w:p w:rsidR="00B95480" w:rsidRDefault="007114CC" w:rsidP="00B95480">
      <w:pPr>
        <w:spacing w:line="240" w:lineRule="auto"/>
        <w:ind w:firstLine="720"/>
        <w:jc w:val="both"/>
      </w:pPr>
      <w:r>
        <w:rPr>
          <w:rFonts w:eastAsia="Helvetica"/>
        </w:rPr>
        <w:t>1. С</w:t>
      </w:r>
      <w:r w:rsidR="00D445BE">
        <w:rPr>
          <w:rFonts w:eastAsia="Times New Roman"/>
          <w:bCs/>
          <w:iCs/>
        </w:rPr>
        <w:t xml:space="preserve">формулированы ключевые предложения по </w:t>
      </w:r>
      <w:r w:rsidR="00EE5689">
        <w:rPr>
          <w:rFonts w:eastAsia="Times New Roman"/>
          <w:bCs/>
          <w:iCs/>
        </w:rPr>
        <w:t>содержан</w:t>
      </w:r>
      <w:r w:rsidR="00D445BE">
        <w:rPr>
          <w:rFonts w:eastAsia="Times New Roman"/>
          <w:bCs/>
          <w:iCs/>
        </w:rPr>
        <w:t>ию нового закона</w:t>
      </w:r>
      <w:r w:rsidR="00CD0DD6">
        <w:rPr>
          <w:rFonts w:eastAsia="Times New Roman"/>
          <w:bCs/>
          <w:iCs/>
        </w:rPr>
        <w:t xml:space="preserve"> о культуре</w:t>
      </w:r>
      <w:r w:rsidR="00D445BE">
        <w:rPr>
          <w:rFonts w:eastAsia="Times New Roman"/>
          <w:bCs/>
          <w:iCs/>
        </w:rPr>
        <w:t xml:space="preserve">. </w:t>
      </w:r>
      <w:r>
        <w:rPr>
          <w:rFonts w:eastAsia="Times New Roman"/>
          <w:bCs/>
          <w:iCs/>
        </w:rPr>
        <w:t>В</w:t>
      </w:r>
      <w:r w:rsidR="00D445BE">
        <w:rPr>
          <w:rFonts w:eastAsia="Times New Roman"/>
          <w:bCs/>
          <w:iCs/>
        </w:rPr>
        <w:t xml:space="preserve"> </w:t>
      </w:r>
      <w:r w:rsidR="00CD0DD6">
        <w:rPr>
          <w:rFonts w:eastAsia="Times New Roman"/>
          <w:bCs/>
          <w:iCs/>
        </w:rPr>
        <w:t xml:space="preserve">разработанных предложениях </w:t>
      </w:r>
      <w:r w:rsidR="00D445BE">
        <w:rPr>
          <w:rFonts w:eastAsia="Times New Roman"/>
          <w:bCs/>
          <w:iCs/>
        </w:rPr>
        <w:t xml:space="preserve">существенно расширен и уточнен понятийный аппарат, добавлены положения, устанавливающие </w:t>
      </w:r>
      <w:r w:rsidR="00D445BE" w:rsidRPr="00153B9F">
        <w:rPr>
          <w:rFonts w:eastAsia="Times New Roman"/>
          <w:bCs/>
          <w:iCs/>
        </w:rPr>
        <w:t>обязанности органов государственной власти и органов местного самоуправления в сфере культуры</w:t>
      </w:r>
      <w:r w:rsidR="00D445BE">
        <w:rPr>
          <w:rFonts w:eastAsia="Times New Roman"/>
          <w:bCs/>
          <w:iCs/>
        </w:rPr>
        <w:t xml:space="preserve">, усовершенствованы нормы, регулирующие экономические отношения в данной сфере, в </w:t>
      </w:r>
      <w:r w:rsidR="00D445BE" w:rsidRPr="002B70D3">
        <w:rPr>
          <w:rFonts w:eastAsia="Times New Roman"/>
          <w:bCs/>
          <w:iCs/>
        </w:rPr>
        <w:t xml:space="preserve">том числе предусматривающие возможности бюджетного </w:t>
      </w:r>
      <w:r w:rsidR="00D445BE" w:rsidRPr="002B70D3">
        <w:rPr>
          <w:bCs/>
          <w:iCs/>
        </w:rPr>
        <w:t>финансировани</w:t>
      </w:r>
      <w:r w:rsidR="00D445BE">
        <w:rPr>
          <w:bCs/>
          <w:iCs/>
        </w:rPr>
        <w:t>я</w:t>
      </w:r>
      <w:r w:rsidR="00D445BE" w:rsidRPr="002B70D3">
        <w:rPr>
          <w:rFonts w:eastAsia="Times New Roman"/>
          <w:bCs/>
          <w:iCs/>
        </w:rPr>
        <w:t xml:space="preserve"> услуг, оказываемых гражданам частными организациями.</w:t>
      </w:r>
      <w:r>
        <w:rPr>
          <w:rFonts w:eastAsia="Times New Roman"/>
          <w:bCs/>
          <w:iCs/>
        </w:rPr>
        <w:t xml:space="preserve"> </w:t>
      </w:r>
      <w:r w:rsidR="00D445BE">
        <w:t xml:space="preserve">Особое место в </w:t>
      </w:r>
      <w:r w:rsidR="00CD0DD6">
        <w:t xml:space="preserve">предложениях к новому </w:t>
      </w:r>
      <w:r w:rsidR="00D445BE">
        <w:t>закон</w:t>
      </w:r>
      <w:r w:rsidR="00CD0DD6">
        <w:t>у</w:t>
      </w:r>
      <w:r w:rsidR="00D445BE">
        <w:t xml:space="preserve"> удел</w:t>
      </w:r>
      <w:r w:rsidR="00CD0DD6">
        <w:t>ено</w:t>
      </w:r>
      <w:r w:rsidR="00D445BE">
        <w:t xml:space="preserve"> обязанностям </w:t>
      </w:r>
      <w:r w:rsidR="00D445BE" w:rsidRPr="00153B9F">
        <w:rPr>
          <w:rFonts w:eastAsia="Times New Roman"/>
          <w:bCs/>
          <w:iCs/>
        </w:rPr>
        <w:t>органов государственной власти и органов местного самоуправления в сфере культуры</w:t>
      </w:r>
      <w:r w:rsidR="00D445BE">
        <w:rPr>
          <w:rFonts w:eastAsia="Times New Roman"/>
          <w:bCs/>
          <w:iCs/>
        </w:rPr>
        <w:t>.</w:t>
      </w:r>
      <w:r w:rsidR="00D445BE">
        <w:t xml:space="preserve"> </w:t>
      </w:r>
    </w:p>
    <w:p w:rsidR="00825A22" w:rsidRPr="00C343CE" w:rsidRDefault="00825A22" w:rsidP="00B95480">
      <w:pPr>
        <w:spacing w:line="240" w:lineRule="auto"/>
        <w:ind w:firstLine="720"/>
        <w:jc w:val="both"/>
      </w:pPr>
      <w:r>
        <w:rPr>
          <w:bCs/>
          <w:iCs/>
        </w:rPr>
        <w:t xml:space="preserve">Сформулированы предложения по совершенствованию </w:t>
      </w:r>
      <w:r w:rsidRPr="00825A22">
        <w:rPr>
          <w:bCs/>
          <w:iCs/>
        </w:rPr>
        <w:t xml:space="preserve">законодательной и нормативно-правовой базы закупочной деятельности в сфере культуры, </w:t>
      </w:r>
      <w:r>
        <w:rPr>
          <w:bCs/>
          <w:iCs/>
        </w:rPr>
        <w:t>которые апробированы по р</w:t>
      </w:r>
      <w:r w:rsidRPr="00825A22">
        <w:t>езультат</w:t>
      </w:r>
      <w:r>
        <w:t>ам</w:t>
      </w:r>
      <w:r w:rsidRPr="00825A22">
        <w:t xml:space="preserve"> проведения фокус-групп</w:t>
      </w:r>
      <w:r>
        <w:t>ы</w:t>
      </w:r>
      <w:r w:rsidRPr="00825A22">
        <w:t xml:space="preserve"> с руководителями федеральных и региональных учреждений культуры разных типов по вопросам совершенствования контрактной системы</w:t>
      </w:r>
      <w:r>
        <w:t>. Предложения касаются повышения гибкост</w:t>
      </w:r>
      <w:r w:rsidR="00EE5689">
        <w:t>и</w:t>
      </w:r>
      <w:r>
        <w:t xml:space="preserve"> планирования, не нарушая при этом принципов гласности, прозрачности и обеспечения конкуренции; созданию централизованного специализированного органа на уровне субъекта российской федерации, которому бы передавались функции по определению/обоснованию цены</w:t>
      </w:r>
      <w:r w:rsidR="00EE5689">
        <w:t>;</w:t>
      </w:r>
      <w:r>
        <w:t xml:space="preserve"> снятия ограничений по стоимостному объему заключаемых договоров и по выручке от продажи </w:t>
      </w:r>
      <w:r w:rsidRPr="00C343CE">
        <w:t>продукции; изменения нижней границы значимости ценового критерия.</w:t>
      </w:r>
    </w:p>
    <w:p w:rsidR="00C343CE" w:rsidRDefault="007114CC" w:rsidP="00B9548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lastRenderedPageBreak/>
        <w:t xml:space="preserve">2. </w:t>
      </w:r>
      <w:r w:rsidR="00C343CE" w:rsidRPr="00C343CE">
        <w:t xml:space="preserve">Предложены </w:t>
      </w:r>
      <w:r w:rsidR="00B95480">
        <w:t>изменения</w:t>
      </w:r>
      <w:r w:rsidR="00C343CE" w:rsidRPr="00C343CE">
        <w:t xml:space="preserve"> по законодательству в сфере государственно-частного и </w:t>
      </w:r>
      <w:proofErr w:type="spellStart"/>
      <w:r w:rsidR="00C343CE" w:rsidRPr="00C343CE">
        <w:t>муниципально</w:t>
      </w:r>
      <w:proofErr w:type="spellEnd"/>
      <w:r w:rsidR="00C343CE" w:rsidRPr="00C343CE">
        <w:t>-частного партнерства в культуре</w:t>
      </w:r>
      <w:r w:rsidR="00C343CE">
        <w:t xml:space="preserve">, направленные на </w:t>
      </w:r>
      <w:r w:rsidR="00C343CE" w:rsidRPr="009B7DD9">
        <w:rPr>
          <w:rFonts w:eastAsia="Times New Roman"/>
          <w:bCs/>
        </w:rPr>
        <w:t>сохранени</w:t>
      </w:r>
      <w:r w:rsidR="00C343CE">
        <w:rPr>
          <w:rFonts w:eastAsia="Times New Roman"/>
          <w:bCs/>
        </w:rPr>
        <w:t>е</w:t>
      </w:r>
      <w:r w:rsidR="00C343CE" w:rsidRPr="009B7DD9">
        <w:rPr>
          <w:rFonts w:eastAsia="Times New Roman"/>
          <w:bCs/>
        </w:rPr>
        <w:t xml:space="preserve"> и капитализаци</w:t>
      </w:r>
      <w:r w:rsidR="00C343CE">
        <w:rPr>
          <w:rFonts w:eastAsia="Times New Roman"/>
          <w:bCs/>
        </w:rPr>
        <w:t>ю</w:t>
      </w:r>
      <w:r w:rsidR="00C343CE" w:rsidRPr="009B7DD9">
        <w:rPr>
          <w:rFonts w:eastAsia="Times New Roman"/>
          <w:bCs/>
        </w:rPr>
        <w:t xml:space="preserve"> культурного наследия</w:t>
      </w:r>
      <w:r w:rsidR="00C343CE">
        <w:rPr>
          <w:rFonts w:eastAsia="Times New Roman"/>
          <w:bCs/>
        </w:rPr>
        <w:t xml:space="preserve">. Сформулированы предложения по изменению </w:t>
      </w:r>
      <w:r w:rsidR="00C343CE" w:rsidRPr="009B7DD9">
        <w:t>предельной стоимости историко-культурной экспертизы земельных участков, сокращени</w:t>
      </w:r>
      <w:r w:rsidR="00C343CE">
        <w:t xml:space="preserve">ю </w:t>
      </w:r>
      <w:r w:rsidR="00C343CE" w:rsidRPr="009B7DD9">
        <w:t>сроков проведения экспертизы, вве</w:t>
      </w:r>
      <w:r w:rsidR="00C343CE">
        <w:t>дению</w:t>
      </w:r>
      <w:r w:rsidR="00C343CE" w:rsidRPr="009B7DD9">
        <w:t xml:space="preserve"> упрощенн</w:t>
      </w:r>
      <w:r w:rsidR="00C343CE">
        <w:t>ого</w:t>
      </w:r>
      <w:r w:rsidR="00C343CE" w:rsidRPr="009B7DD9">
        <w:t xml:space="preserve"> поряд</w:t>
      </w:r>
      <w:r w:rsidR="00C343CE">
        <w:t>ка</w:t>
      </w:r>
      <w:r w:rsidR="00C343CE" w:rsidRPr="009B7DD9">
        <w:t xml:space="preserve"> проведения историко-культурной экспертизы земельных участков площадью не более 1500 кв.</w:t>
      </w:r>
      <w:r w:rsidR="00C343CE">
        <w:t xml:space="preserve"> </w:t>
      </w:r>
      <w:r w:rsidR="00C343CE" w:rsidRPr="009B7DD9">
        <w:t>м, предоставл</w:t>
      </w:r>
      <w:r w:rsidR="00C343CE">
        <w:t>яем</w:t>
      </w:r>
      <w:r w:rsidR="00C343CE" w:rsidRPr="009B7DD9">
        <w:t xml:space="preserve">ых физическим лицам и частным инвесторам с </w:t>
      </w:r>
      <w:r w:rsidR="00EE5689">
        <w:t xml:space="preserve">конкретными </w:t>
      </w:r>
      <w:r w:rsidR="00C343CE" w:rsidRPr="009B7DD9">
        <w:t>указанными видами разрешенного использования</w:t>
      </w:r>
      <w:r w:rsidR="006D14CD">
        <w:t>;</w:t>
      </w:r>
      <w:r w:rsidR="00C343CE" w:rsidRPr="009B7DD9">
        <w:t xml:space="preserve"> </w:t>
      </w:r>
      <w:r w:rsidR="006D14CD">
        <w:t xml:space="preserve">по </w:t>
      </w:r>
      <w:r w:rsidR="006D14CD" w:rsidRPr="006D14CD">
        <w:t>определени</w:t>
      </w:r>
      <w:r w:rsidR="006D14CD">
        <w:t>ю</w:t>
      </w:r>
      <w:r w:rsidR="006D14CD" w:rsidRPr="006D14CD">
        <w:t xml:space="preserve"> перечня работ на объектах культурного наследия, которые должны считаться реставрационными,</w:t>
      </w:r>
      <w:r w:rsidR="006D14CD" w:rsidRPr="009B7DD9">
        <w:t xml:space="preserve"> и к которым должны применяться специальные расценки</w:t>
      </w:r>
      <w:r w:rsidR="00C343CE" w:rsidRPr="009B7DD9">
        <w:t>.</w:t>
      </w:r>
      <w:r w:rsidR="00C343CE">
        <w:rPr>
          <w:rFonts w:eastAsia="Times New Roman"/>
          <w:bCs/>
        </w:rPr>
        <w:t xml:space="preserve"> </w:t>
      </w:r>
      <w:r w:rsidR="00C343CE" w:rsidRPr="009B7DD9">
        <w:t xml:space="preserve">Оперативное совершенствование подзаконных актов </w:t>
      </w:r>
      <w:r w:rsidR="006D14CD">
        <w:rPr>
          <w:color w:val="000000"/>
        </w:rPr>
        <w:t xml:space="preserve">поможет </w:t>
      </w:r>
      <w:r w:rsidR="006D14CD">
        <w:rPr>
          <w:rFonts w:eastAsia="Times New Roman"/>
          <w:bCs/>
        </w:rPr>
        <w:t>поиску</w:t>
      </w:r>
      <w:r w:rsidR="006D14CD" w:rsidRPr="009B7DD9">
        <w:rPr>
          <w:rFonts w:eastAsia="Times New Roman"/>
          <w:bCs/>
        </w:rPr>
        <w:t xml:space="preserve"> эффективных решений </w:t>
      </w:r>
      <w:r w:rsidR="006D14CD">
        <w:rPr>
          <w:rFonts w:eastAsia="Times New Roman"/>
          <w:bCs/>
        </w:rPr>
        <w:t>использова</w:t>
      </w:r>
      <w:r w:rsidR="006D14CD" w:rsidRPr="009B7DD9">
        <w:rPr>
          <w:rFonts w:eastAsia="Times New Roman"/>
          <w:bCs/>
        </w:rPr>
        <w:t xml:space="preserve">ния </w:t>
      </w:r>
      <w:r w:rsidR="006D14CD">
        <w:rPr>
          <w:rFonts w:eastAsia="Times New Roman"/>
          <w:bCs/>
        </w:rPr>
        <w:t xml:space="preserve">объектов </w:t>
      </w:r>
      <w:r w:rsidR="006D14CD" w:rsidRPr="009B7DD9">
        <w:rPr>
          <w:rFonts w:eastAsia="Times New Roman"/>
          <w:bCs/>
        </w:rPr>
        <w:t>культурного наследия,</w:t>
      </w:r>
      <w:r w:rsidR="006D14CD">
        <w:rPr>
          <w:rFonts w:eastAsia="Times New Roman"/>
          <w:bCs/>
        </w:rPr>
        <w:t xml:space="preserve"> многие из которых до настоящего времени остаются бесхозными и не имеют должной с</w:t>
      </w:r>
      <w:r w:rsidR="006D14CD">
        <w:rPr>
          <w:color w:val="000000"/>
        </w:rPr>
        <w:t>охранности.</w:t>
      </w:r>
    </w:p>
    <w:p w:rsidR="007114CC" w:rsidRDefault="007114CC" w:rsidP="00B95480">
      <w:pPr>
        <w:spacing w:line="240" w:lineRule="auto"/>
        <w:ind w:firstLine="709"/>
        <w:jc w:val="both"/>
        <w:rPr>
          <w:rFonts w:eastAsia="Times New Roman"/>
        </w:rPr>
      </w:pPr>
      <w:r>
        <w:t xml:space="preserve">3. </w:t>
      </w:r>
      <w:r w:rsidR="005A4F68">
        <w:t>В деле сохранения культурного наследия большое значение имеет накопленный в течение десятилетий опыт зарубежных стран</w:t>
      </w:r>
      <w:r>
        <w:t xml:space="preserve">. </w:t>
      </w:r>
      <w:r w:rsidR="00EA5C27">
        <w:rPr>
          <w:rFonts w:eastAsia="Times New Roman"/>
        </w:rPr>
        <w:t>В исследовании показано, что к</w:t>
      </w:r>
      <w:r w:rsidR="005A4F68" w:rsidRPr="002C089F">
        <w:rPr>
          <w:rFonts w:eastAsia="Times New Roman"/>
        </w:rPr>
        <w:t xml:space="preserve">ультурное </w:t>
      </w:r>
      <w:r w:rsidR="005A4F68">
        <w:rPr>
          <w:rFonts w:eastAsia="Times New Roman"/>
        </w:rPr>
        <w:t xml:space="preserve">и природное </w:t>
      </w:r>
      <w:r w:rsidR="005A4F68" w:rsidRPr="002C089F">
        <w:rPr>
          <w:rFonts w:eastAsia="Times New Roman"/>
        </w:rPr>
        <w:t>наследие в международн</w:t>
      </w:r>
      <w:r w:rsidR="005A4F68">
        <w:rPr>
          <w:rFonts w:eastAsia="Times New Roman"/>
        </w:rPr>
        <w:t>ой практике</w:t>
      </w:r>
      <w:r w:rsidR="005A4F68" w:rsidRPr="002C089F">
        <w:rPr>
          <w:rFonts w:eastAsia="Times New Roman"/>
        </w:rPr>
        <w:t xml:space="preserve"> все </w:t>
      </w:r>
      <w:r w:rsidR="005A4F68">
        <w:rPr>
          <w:rFonts w:eastAsia="Times New Roman"/>
        </w:rPr>
        <w:t>более</w:t>
      </w:r>
      <w:r w:rsidR="005A4F68" w:rsidRPr="002C089F">
        <w:rPr>
          <w:rFonts w:eastAsia="Times New Roman"/>
        </w:rPr>
        <w:t xml:space="preserve"> понимается как ценный актив, способствующий экономическому и социальному </w:t>
      </w:r>
      <w:r w:rsidR="00B95480">
        <w:rPr>
          <w:rFonts w:eastAsia="Times New Roman"/>
        </w:rPr>
        <w:t>развитию регионов</w:t>
      </w:r>
      <w:r w:rsidR="005A4F68" w:rsidRPr="002C089F">
        <w:rPr>
          <w:rFonts w:eastAsia="Times New Roman"/>
        </w:rPr>
        <w:t xml:space="preserve">, </w:t>
      </w:r>
      <w:r w:rsidR="005A4F68">
        <w:rPr>
          <w:rFonts w:eastAsia="Times New Roman"/>
        </w:rPr>
        <w:t>поддержив</w:t>
      </w:r>
      <w:r w:rsidR="005A4F68" w:rsidRPr="002C089F">
        <w:rPr>
          <w:rFonts w:eastAsia="Times New Roman"/>
        </w:rPr>
        <w:t>а</w:t>
      </w:r>
      <w:r w:rsidR="00B95480">
        <w:rPr>
          <w:rFonts w:eastAsia="Times New Roman"/>
        </w:rPr>
        <w:t>ющий</w:t>
      </w:r>
      <w:r w:rsidR="005A4F68" w:rsidRPr="002C089F">
        <w:rPr>
          <w:rFonts w:eastAsia="Times New Roman"/>
        </w:rPr>
        <w:t xml:space="preserve"> культурн</w:t>
      </w:r>
      <w:r w:rsidR="00B95480">
        <w:rPr>
          <w:rFonts w:eastAsia="Times New Roman"/>
        </w:rPr>
        <w:t>ое</w:t>
      </w:r>
      <w:r w:rsidR="005A4F68" w:rsidRPr="002C089F">
        <w:rPr>
          <w:rFonts w:eastAsia="Times New Roman"/>
        </w:rPr>
        <w:t xml:space="preserve"> разнообразие и </w:t>
      </w:r>
      <w:r w:rsidR="00EA5C27">
        <w:rPr>
          <w:rFonts w:eastAsia="Times New Roman"/>
        </w:rPr>
        <w:t>культурную самобытность</w:t>
      </w:r>
      <w:r w:rsidR="005A4F68" w:rsidRPr="002C089F">
        <w:rPr>
          <w:rFonts w:eastAsia="Times New Roman"/>
        </w:rPr>
        <w:t xml:space="preserve"> места. </w:t>
      </w:r>
      <w:r w:rsidR="00EA5C27" w:rsidRPr="0088015F">
        <w:rPr>
          <w:rFonts w:eastAsia="Times New Roman"/>
        </w:rPr>
        <w:t xml:space="preserve">Общим для </w:t>
      </w:r>
      <w:r w:rsidR="00EA5C27">
        <w:rPr>
          <w:rFonts w:eastAsia="Times New Roman"/>
        </w:rPr>
        <w:t xml:space="preserve">сложившейся практики большинства стран </w:t>
      </w:r>
      <w:r w:rsidR="00EA5C27" w:rsidRPr="0088015F">
        <w:rPr>
          <w:rFonts w:eastAsia="Times New Roman"/>
        </w:rPr>
        <w:t>является территориальный подход к сохранению и использованию наследия</w:t>
      </w:r>
      <w:r w:rsidR="00EA5C27">
        <w:rPr>
          <w:rFonts w:eastAsia="Times New Roman"/>
        </w:rPr>
        <w:t>,</w:t>
      </w:r>
      <w:r w:rsidR="00EA5C27" w:rsidRPr="0088015F">
        <w:rPr>
          <w:rFonts w:eastAsia="Times New Roman"/>
        </w:rPr>
        <w:t xml:space="preserve"> выделение не отдельных объектов, а </w:t>
      </w:r>
      <w:r w:rsidR="00EA5C27">
        <w:rPr>
          <w:rFonts w:eastAsia="Times New Roman"/>
        </w:rPr>
        <w:t xml:space="preserve">системы </w:t>
      </w:r>
      <w:r w:rsidR="00EA5C27" w:rsidRPr="0088015F">
        <w:rPr>
          <w:rFonts w:eastAsia="Times New Roman"/>
        </w:rPr>
        <w:t>историко-культурных территорий</w:t>
      </w:r>
      <w:r w:rsidR="00EA5C27">
        <w:rPr>
          <w:rFonts w:eastAsia="Times New Roman"/>
        </w:rPr>
        <w:t>.</w:t>
      </w:r>
      <w:r w:rsidR="00EA5C27" w:rsidRPr="0088015F">
        <w:rPr>
          <w:rFonts w:eastAsia="Times New Roman"/>
        </w:rPr>
        <w:t xml:space="preserve"> </w:t>
      </w:r>
      <w:r w:rsidR="00EA5C27">
        <w:rPr>
          <w:rFonts w:eastAsia="Times New Roman"/>
        </w:rPr>
        <w:t xml:space="preserve">Подобный пространственный подход позволяет: </w:t>
      </w:r>
      <w:r w:rsidR="00EA5C27" w:rsidRPr="0088015F">
        <w:rPr>
          <w:rFonts w:eastAsia="Times New Roman"/>
        </w:rPr>
        <w:t>сочетать сохранение природного и культурного наследия</w:t>
      </w:r>
      <w:r w:rsidR="00EA5C27">
        <w:rPr>
          <w:rFonts w:eastAsia="Times New Roman"/>
        </w:rPr>
        <w:t xml:space="preserve">; создавать условия для рационального использования природного и культурного наследия, причем, во многом на основе традиционных и исторических форм природопользования; сохранять культурный ландшафт; </w:t>
      </w:r>
      <w:r w:rsidR="00EA5C27" w:rsidRPr="00D710F1">
        <w:rPr>
          <w:rFonts w:eastAsia="Times New Roman"/>
        </w:rPr>
        <w:t xml:space="preserve">создавать рациональные условия для музейного и туристского развития. </w:t>
      </w:r>
    </w:p>
    <w:p w:rsidR="007D6F0A" w:rsidRPr="00BE24D2" w:rsidRDefault="007114CC" w:rsidP="00B95480">
      <w:pPr>
        <w:spacing w:line="240" w:lineRule="auto"/>
        <w:ind w:firstLine="709"/>
        <w:jc w:val="both"/>
      </w:pPr>
      <w:r>
        <w:rPr>
          <w:rFonts w:eastAsia="Times New Roman"/>
        </w:rPr>
        <w:t xml:space="preserve">4. </w:t>
      </w:r>
      <w:r w:rsidR="00EA5C27" w:rsidRPr="00BE24D2">
        <w:t xml:space="preserve">Грамотное и рациональное использование культурного </w:t>
      </w:r>
      <w:r w:rsidR="00EA5C27">
        <w:t xml:space="preserve">и природного наследия может сыграть значимую роль и для развития российских регионов, </w:t>
      </w:r>
      <w:r w:rsidR="00EA5C27" w:rsidRPr="00BE24D2">
        <w:t>ста</w:t>
      </w:r>
      <w:r w:rsidR="00EA5C27">
        <w:t>ть</w:t>
      </w:r>
      <w:r w:rsidR="00EA5C27" w:rsidRPr="00BE24D2">
        <w:t xml:space="preserve"> катализатором </w:t>
      </w:r>
      <w:r w:rsidR="00EA5C27">
        <w:t>новы</w:t>
      </w:r>
      <w:r w:rsidR="00EA5C27" w:rsidRPr="00BE24D2">
        <w:t xml:space="preserve">х изменений, </w:t>
      </w:r>
      <w:r w:rsidR="00EA5C27">
        <w:t xml:space="preserve">своеобразной отраслью </w:t>
      </w:r>
      <w:r w:rsidR="00EA5C27" w:rsidRPr="00BE24D2">
        <w:t>специализации</w:t>
      </w:r>
      <w:r w:rsidR="00EA5C27">
        <w:t xml:space="preserve"> и</w:t>
      </w:r>
      <w:r w:rsidR="00EA5C27" w:rsidRPr="00BE24D2">
        <w:t xml:space="preserve"> одним из перспективных направлений развития местного социально-экономического комплекса. Для небольших исторических поселений, для многих сельских территорий страны в ближайшей перспективе именно культурное наследие может </w:t>
      </w:r>
      <w:r w:rsidR="00EA5C27">
        <w:t>бы</w:t>
      </w:r>
      <w:r w:rsidR="00EA5C27" w:rsidRPr="00BE24D2">
        <w:t xml:space="preserve">ть </w:t>
      </w:r>
      <w:r w:rsidR="007D6F0A">
        <w:t>реаль</w:t>
      </w:r>
      <w:r w:rsidR="00EA5C27" w:rsidRPr="00BE24D2">
        <w:t xml:space="preserve">ным </w:t>
      </w:r>
      <w:r w:rsidR="007D6F0A">
        <w:t xml:space="preserve">(и зачастую, единственным) </w:t>
      </w:r>
      <w:r w:rsidR="00EA5C27" w:rsidRPr="00BE24D2">
        <w:t>импульсом развития</w:t>
      </w:r>
      <w:r w:rsidR="007D6F0A">
        <w:t>,</w:t>
      </w:r>
      <w:r w:rsidR="00EA5C27" w:rsidRPr="00BE24D2">
        <w:t xml:space="preserve"> при этом развити</w:t>
      </w:r>
      <w:r w:rsidR="007D6F0A">
        <w:t>я,</w:t>
      </w:r>
      <w:r w:rsidR="00EA5C27" w:rsidRPr="00BE24D2">
        <w:t xml:space="preserve"> </w:t>
      </w:r>
      <w:r w:rsidR="007D6F0A">
        <w:t>которое</w:t>
      </w:r>
      <w:r w:rsidR="00EA5C27" w:rsidRPr="00BE24D2">
        <w:t xml:space="preserve"> не несет отрицательных социальных и экологических последствий.</w:t>
      </w:r>
      <w:r>
        <w:t xml:space="preserve"> </w:t>
      </w:r>
      <w:r w:rsidR="007D6F0A" w:rsidRPr="00BE24D2">
        <w:t xml:space="preserve">Одним из механизмов реализации этого процесса в нашей стране </w:t>
      </w:r>
      <w:r>
        <w:t>может стать</w:t>
      </w:r>
      <w:r w:rsidR="007D6F0A" w:rsidRPr="00BE24D2">
        <w:t xml:space="preserve"> </w:t>
      </w:r>
      <w:r>
        <w:t>развит</w:t>
      </w:r>
      <w:r w:rsidR="007D6F0A" w:rsidRPr="00BE24D2">
        <w:t xml:space="preserve">ие </w:t>
      </w:r>
      <w:r>
        <w:t xml:space="preserve">сети </w:t>
      </w:r>
      <w:r w:rsidR="007D6F0A" w:rsidRPr="00BE24D2">
        <w:t>музеев-заповедников</w:t>
      </w:r>
      <w:r>
        <w:t>, с</w:t>
      </w:r>
      <w:r w:rsidR="007D6F0A" w:rsidRPr="00BE24D2">
        <w:t xml:space="preserve">пецифика </w:t>
      </w:r>
      <w:r>
        <w:t>которых,</w:t>
      </w:r>
      <w:r w:rsidR="007D6F0A" w:rsidRPr="00BE24D2">
        <w:t xml:space="preserve"> как учреждений культуры</w:t>
      </w:r>
      <w:r>
        <w:t>,</w:t>
      </w:r>
      <w:r w:rsidR="007D6F0A" w:rsidRPr="00BE24D2">
        <w:t xml:space="preserve"> заключается в том, что в их ведении находятся не только музейные предметы и коллекции, но и недвижимые объекты культурного наследия (здания, сооружения, археологические объекты), а также окружающая их территория. </w:t>
      </w:r>
      <w:r>
        <w:t xml:space="preserve">На материалах </w:t>
      </w:r>
      <w:r w:rsidR="007D6F0A">
        <w:t>конкретны</w:t>
      </w:r>
      <w:r>
        <w:t>х</w:t>
      </w:r>
      <w:r w:rsidR="007D6F0A">
        <w:t xml:space="preserve"> полевы</w:t>
      </w:r>
      <w:r>
        <w:t>х</w:t>
      </w:r>
      <w:r w:rsidR="007D6F0A">
        <w:t xml:space="preserve"> исследовани</w:t>
      </w:r>
      <w:r>
        <w:t>й</w:t>
      </w:r>
      <w:r w:rsidR="007D6F0A">
        <w:t xml:space="preserve"> по</w:t>
      </w:r>
      <w:r w:rsidR="000134D1">
        <w:t>казаны принципы и конкретные подходы к</w:t>
      </w:r>
      <w:r w:rsidR="007D6F0A">
        <w:t xml:space="preserve"> </w:t>
      </w:r>
      <w:r w:rsidR="007D6F0A" w:rsidRPr="00BE24D2">
        <w:t>созданию и развитию музея-заповедника</w:t>
      </w:r>
      <w:r w:rsidR="007D6F0A" w:rsidRPr="007D6F0A">
        <w:t xml:space="preserve"> </w:t>
      </w:r>
      <w:r w:rsidR="007D6F0A">
        <w:t xml:space="preserve">на территории </w:t>
      </w:r>
      <w:proofErr w:type="spellStart"/>
      <w:r w:rsidR="007D6F0A" w:rsidRPr="00BE24D2">
        <w:t>Сармановск</w:t>
      </w:r>
      <w:r w:rsidR="007D6F0A">
        <w:t>ого</w:t>
      </w:r>
      <w:proofErr w:type="spellEnd"/>
      <w:r w:rsidR="007D6F0A" w:rsidRPr="00BE24D2">
        <w:t xml:space="preserve"> район</w:t>
      </w:r>
      <w:r w:rsidR="007D6F0A">
        <w:t>а</w:t>
      </w:r>
      <w:r w:rsidR="007D6F0A" w:rsidRPr="00BE24D2">
        <w:t xml:space="preserve"> Республики Татарстан</w:t>
      </w:r>
      <w:r w:rsidR="007D6F0A">
        <w:t xml:space="preserve">, </w:t>
      </w:r>
      <w:r w:rsidR="007D6F0A" w:rsidRPr="00BE24D2">
        <w:t>имеющ</w:t>
      </w:r>
      <w:r w:rsidR="007D6F0A">
        <w:t>его</w:t>
      </w:r>
      <w:r w:rsidR="007D6F0A" w:rsidRPr="00BE24D2">
        <w:t xml:space="preserve"> очень интересные потенциальные ресурсы будущего культурного развития. </w:t>
      </w:r>
    </w:p>
    <w:p w:rsidR="00C408EF" w:rsidRDefault="000134D1" w:rsidP="00B95480">
      <w:pPr>
        <w:spacing w:line="240" w:lineRule="auto"/>
        <w:ind w:firstLine="709"/>
        <w:jc w:val="both"/>
      </w:pPr>
      <w:r>
        <w:t xml:space="preserve">5. </w:t>
      </w:r>
      <w:r w:rsidR="00C408EF">
        <w:t>Рекомендуется принятие специального федерального закона «Об историко-культурных территориях», который приблизил бы российский законодательный опыт к лучшим мировым практикам в деле охраны культурного и природного наследия, а также позволил бы создать дополнительные предпосылки для использования наследия в развитии сферы культуры, развитии туризма, в стимулировании экономического и социального развития малых исторических городов, сельских поселений и исторических территорий. В работе сформулированы предложения по принятию законодательных поправок в существующие законы и акты, а также сформулирована концепция специального нового закона об историко-культурных территориях.</w:t>
      </w:r>
    </w:p>
    <w:p w:rsidR="000134D1" w:rsidRDefault="000134D1" w:rsidP="00B95480">
      <w:pPr>
        <w:spacing w:line="240" w:lineRule="auto"/>
        <w:ind w:firstLine="709"/>
        <w:jc w:val="both"/>
      </w:pPr>
      <w:r>
        <w:t>6. Исследование позволило провести</w:t>
      </w:r>
      <w:r w:rsidR="00BE639A">
        <w:t xml:space="preserve"> анализ существующих и </w:t>
      </w:r>
      <w:r w:rsidR="00C73BAD">
        <w:t xml:space="preserve">оценить перспективы </w:t>
      </w:r>
      <w:r w:rsidR="00BE639A" w:rsidRPr="00DC33E0">
        <w:t>развити</w:t>
      </w:r>
      <w:r w:rsidR="00C73BAD">
        <w:t>я</w:t>
      </w:r>
      <w:r w:rsidR="00BE639A" w:rsidRPr="00DC33E0">
        <w:t xml:space="preserve"> новых культурно-досуговых инициатив и культурных практик.</w:t>
      </w:r>
      <w:r>
        <w:t xml:space="preserve"> Показано, что </w:t>
      </w:r>
      <w:r>
        <w:lastRenderedPageBreak/>
        <w:t>с</w:t>
      </w:r>
      <w:r w:rsidR="00BE639A" w:rsidRPr="00DC33E0">
        <w:t>овременные культурные инициативы и практики все менее опираются на сеть учреждений культуры, но заинтересованы в наличии инфраструктурных предпосылок для реализации все более сложных и динамически меняющихся культурных инициатив и практик, имеющих как рыночный, так и общественно-инициативный характер. В этом направлении необходимо</w:t>
      </w:r>
      <w:r w:rsidR="00C73BAD">
        <w:t>:</w:t>
      </w:r>
      <w:r w:rsidR="00BE639A" w:rsidRPr="00DC33E0">
        <w:t xml:space="preserve"> как модернизировать исторически сложившуюся государственную сеть культурных учреждений, так и предпринимать новые шаги по созданию благоприятной инфраструктуры для культурных инициатив и культурному перекодированию существующих практик.</w:t>
      </w:r>
      <w:r>
        <w:t xml:space="preserve"> </w:t>
      </w:r>
    </w:p>
    <w:p w:rsidR="00BE639A" w:rsidRDefault="00BE639A" w:rsidP="00B95480">
      <w:pPr>
        <w:spacing w:line="240" w:lineRule="auto"/>
        <w:ind w:firstLine="709"/>
        <w:jc w:val="both"/>
      </w:pPr>
      <w:r w:rsidRPr="00DC33E0">
        <w:t>Культурно-досуговые практики и их разнообразие</w:t>
      </w:r>
      <w:r w:rsidR="000134D1">
        <w:t xml:space="preserve"> </w:t>
      </w:r>
      <w:r w:rsidRPr="00DC33E0">
        <w:t>напрямую коррелируют с уровнем образования и демонстрируют прямую зависимость от него. Из этого следует, что основным инструментом развития культурной инициативы и повышения вовлеченности населения в культурно-досуговые практики является изменение отношения к культурным компетенциям в образовательных программах. Именно здесь формируется то, что мы можем назвать культурной грамотностью, т.е. способность участвовать в культурной жизни и проявлять инициативу в этой сфере.</w:t>
      </w:r>
      <w:r w:rsidRPr="00BE639A">
        <w:t xml:space="preserve"> </w:t>
      </w:r>
    </w:p>
    <w:p w:rsidR="00BE639A" w:rsidRPr="00DC33E0" w:rsidRDefault="00BE639A" w:rsidP="00B95480">
      <w:pPr>
        <w:spacing w:line="240" w:lineRule="auto"/>
        <w:ind w:firstLine="709"/>
        <w:jc w:val="both"/>
      </w:pPr>
      <w:r>
        <w:t>В</w:t>
      </w:r>
      <w:r w:rsidRPr="00DC33E0">
        <w:t xml:space="preserve"> проектировании культурно-досуговой инфраструктуры важно учитывать территориальное и поселенческое многообразие Российской Федерации. Как показывает </w:t>
      </w:r>
      <w:r w:rsidR="00A34F9C">
        <w:t>региональн</w:t>
      </w:r>
      <w:r w:rsidRPr="00DC33E0">
        <w:t>ый анализ культурно-досугово</w:t>
      </w:r>
      <w:r w:rsidR="000134D1">
        <w:t>го</w:t>
      </w:r>
      <w:r w:rsidRPr="00DC33E0">
        <w:t xml:space="preserve"> потребления</w:t>
      </w:r>
      <w:r w:rsidR="00A34F9C">
        <w:t xml:space="preserve"> </w:t>
      </w:r>
      <w:r w:rsidR="00A34F9C" w:rsidRPr="00DC33E0">
        <w:t>(</w:t>
      </w:r>
      <w:r w:rsidR="00A34F9C">
        <w:t xml:space="preserve">Республика </w:t>
      </w:r>
      <w:r w:rsidR="00A34F9C" w:rsidRPr="00DC33E0">
        <w:t xml:space="preserve">Дагестан, </w:t>
      </w:r>
      <w:r w:rsidR="00A34F9C">
        <w:t xml:space="preserve">Республика </w:t>
      </w:r>
      <w:r w:rsidR="00A34F9C" w:rsidRPr="00DC33E0">
        <w:t xml:space="preserve">Карелия, Воронежская область, </w:t>
      </w:r>
      <w:r w:rsidR="00A34F9C">
        <w:t>Пермский край</w:t>
      </w:r>
      <w:r w:rsidR="00A34F9C" w:rsidRPr="00DC33E0">
        <w:t>)</w:t>
      </w:r>
      <w:r w:rsidRPr="00DC33E0">
        <w:t>, различные типы поселений выступают как своеобразные фильтры групп населения с разным уровнем образования и возраста, что формирует также и определенные паттерны культурного потребления. Данные различия необходимо исследовать более детально и непосредственно использовать в ходе планирования культурной политики.</w:t>
      </w:r>
    </w:p>
    <w:p w:rsidR="00EE5689" w:rsidRPr="0084420B" w:rsidRDefault="00B95480" w:rsidP="00B95480">
      <w:pPr>
        <w:spacing w:line="240" w:lineRule="auto"/>
        <w:ind w:firstLine="709"/>
        <w:jc w:val="both"/>
        <w:rPr>
          <w:szCs w:val="22"/>
        </w:rPr>
      </w:pPr>
      <w:r>
        <w:rPr>
          <w:szCs w:val="22"/>
        </w:rPr>
        <w:t xml:space="preserve">7. </w:t>
      </w:r>
      <w:r w:rsidR="00EE5689" w:rsidRPr="0084420B">
        <w:rPr>
          <w:szCs w:val="22"/>
        </w:rPr>
        <w:t xml:space="preserve">На современном этапе постиндустриального развития тесная взаимосвязь культуры и туризма является непреложным фактом. </w:t>
      </w:r>
      <w:r w:rsidR="00EE5689">
        <w:rPr>
          <w:szCs w:val="22"/>
        </w:rPr>
        <w:t xml:space="preserve">Поэтому </w:t>
      </w:r>
      <w:r w:rsidR="00EE5689" w:rsidRPr="0084420B">
        <w:rPr>
          <w:szCs w:val="22"/>
        </w:rPr>
        <w:t>предложения по совершенствованию сфер</w:t>
      </w:r>
      <w:r w:rsidR="00EE5689">
        <w:rPr>
          <w:szCs w:val="22"/>
        </w:rPr>
        <w:t>ы</w:t>
      </w:r>
      <w:r w:rsidR="00EE5689" w:rsidRPr="0084420B">
        <w:rPr>
          <w:szCs w:val="22"/>
        </w:rPr>
        <w:t xml:space="preserve"> культуры, сферы сохранения и использования культурного наследия, а также рекомендации по развитию новых культурных инициатив и культурных практик должны учитывать значительную роль</w:t>
      </w:r>
      <w:r w:rsidR="00EE5689">
        <w:rPr>
          <w:szCs w:val="22"/>
        </w:rPr>
        <w:t xml:space="preserve"> и особенности туристского потребления услуг культуры.</w:t>
      </w:r>
      <w:r w:rsidR="00EE5689" w:rsidRPr="003203A0">
        <w:rPr>
          <w:szCs w:val="22"/>
        </w:rPr>
        <w:t xml:space="preserve"> </w:t>
      </w:r>
      <w:r w:rsidR="00EE5689">
        <w:rPr>
          <w:szCs w:val="22"/>
        </w:rPr>
        <w:t>Р</w:t>
      </w:r>
      <w:r w:rsidR="00EE5689" w:rsidRPr="0084420B">
        <w:rPr>
          <w:szCs w:val="22"/>
        </w:rPr>
        <w:t xml:space="preserve">азвитие туризма </w:t>
      </w:r>
      <w:r w:rsidR="00EE5689">
        <w:rPr>
          <w:szCs w:val="22"/>
        </w:rPr>
        <w:t xml:space="preserve">должно </w:t>
      </w:r>
      <w:r w:rsidR="00EE5689" w:rsidRPr="0084420B">
        <w:rPr>
          <w:szCs w:val="22"/>
        </w:rPr>
        <w:t>рассматрива</w:t>
      </w:r>
      <w:r w:rsidR="00EE5689">
        <w:rPr>
          <w:szCs w:val="22"/>
        </w:rPr>
        <w:t xml:space="preserve">ться </w:t>
      </w:r>
      <w:r w:rsidR="00EE5689" w:rsidRPr="0084420B">
        <w:rPr>
          <w:szCs w:val="22"/>
        </w:rPr>
        <w:t>как часть политики по сохранению культурного наследия и</w:t>
      </w:r>
      <w:r w:rsidR="00EE5689">
        <w:rPr>
          <w:szCs w:val="22"/>
        </w:rPr>
        <w:t xml:space="preserve"> </w:t>
      </w:r>
      <w:r w:rsidR="00EE5689" w:rsidRPr="0084420B">
        <w:rPr>
          <w:szCs w:val="22"/>
        </w:rPr>
        <w:t xml:space="preserve">поддержанию деятельности учреждений культуры. </w:t>
      </w:r>
    </w:p>
    <w:p w:rsidR="006736A1" w:rsidRPr="005F4722" w:rsidRDefault="006736A1" w:rsidP="00B95480">
      <w:pPr>
        <w:spacing w:line="240" w:lineRule="auto"/>
        <w:ind w:firstLine="709"/>
        <w:jc w:val="both"/>
      </w:pPr>
      <w:r>
        <w:rPr>
          <w:szCs w:val="22"/>
        </w:rPr>
        <w:t>Для оценки д</w:t>
      </w:r>
      <w:r w:rsidRPr="004B7F89">
        <w:rPr>
          <w:szCs w:val="22"/>
        </w:rPr>
        <w:t xml:space="preserve">оли услуг культуры в общем объеме туристских потребительских расходов </w:t>
      </w:r>
      <w:r>
        <w:rPr>
          <w:szCs w:val="22"/>
        </w:rPr>
        <w:t>предлож</w:t>
      </w:r>
      <w:r w:rsidRPr="004B7F89">
        <w:rPr>
          <w:szCs w:val="22"/>
        </w:rPr>
        <w:t>ено два методологических подхода</w:t>
      </w:r>
      <w:r>
        <w:rPr>
          <w:szCs w:val="22"/>
        </w:rPr>
        <w:t xml:space="preserve">. В </w:t>
      </w:r>
      <w:r w:rsidRPr="004B7F89">
        <w:rPr>
          <w:szCs w:val="22"/>
        </w:rPr>
        <w:t xml:space="preserve">рамках первого </w:t>
      </w:r>
      <w:r>
        <w:rPr>
          <w:szCs w:val="22"/>
        </w:rPr>
        <w:t xml:space="preserve">из них </w:t>
      </w:r>
      <w:r w:rsidRPr="004B7F89">
        <w:rPr>
          <w:szCs w:val="22"/>
        </w:rPr>
        <w:t xml:space="preserve">расчеты опираются на данные результатов статистических обследований внутренних и въездных туристов. В рамках второго подхода сначала определяются расходы внутренних туристов на услуги культуры. Распространение выборочных данных на генеральную совокупность при этом производится на основании числа поездок внутренних туристов, получаемых по результатам </w:t>
      </w:r>
      <w:r>
        <w:rPr>
          <w:szCs w:val="22"/>
        </w:rPr>
        <w:t>проводимого Росстатом выборочного обследования бюджетов домашних хозяйств.</w:t>
      </w:r>
      <w:r w:rsidR="00B95480">
        <w:rPr>
          <w:szCs w:val="22"/>
        </w:rPr>
        <w:t xml:space="preserve"> </w:t>
      </w:r>
      <w:r>
        <w:t>Разработаны методические рекомендации о</w:t>
      </w:r>
      <w:r w:rsidRPr="009E4EC3">
        <w:t>ценк</w:t>
      </w:r>
      <w:r>
        <w:t>и</w:t>
      </w:r>
      <w:r w:rsidRPr="009E4EC3">
        <w:t xml:space="preserve"> потребления услуг культуры туристами в Российской Федерации</w:t>
      </w:r>
      <w:r>
        <w:t>.</w:t>
      </w:r>
      <w:r w:rsidRPr="006736A1">
        <w:t xml:space="preserve"> </w:t>
      </w:r>
      <w:r>
        <w:rPr>
          <w:rFonts w:eastAsia="Times New Roman"/>
        </w:rPr>
        <w:t xml:space="preserve">На основе предварительных расчетов </w:t>
      </w:r>
      <w:r>
        <w:rPr>
          <w:rFonts w:eastAsia="Arial"/>
        </w:rPr>
        <w:t>предложены меры по с</w:t>
      </w:r>
      <w:r w:rsidRPr="0054610F">
        <w:rPr>
          <w:rFonts w:eastAsia="Arial"/>
        </w:rPr>
        <w:t>тимулировани</w:t>
      </w:r>
      <w:r>
        <w:rPr>
          <w:rFonts w:eastAsia="Arial"/>
        </w:rPr>
        <w:t>ю</w:t>
      </w:r>
      <w:r w:rsidRPr="0054610F">
        <w:rPr>
          <w:rFonts w:eastAsia="Arial"/>
        </w:rPr>
        <w:t xml:space="preserve"> туристского потребления услуг культуры</w:t>
      </w:r>
      <w:r>
        <w:rPr>
          <w:rFonts w:eastAsia="Arial"/>
        </w:rPr>
        <w:t>.</w:t>
      </w:r>
    </w:p>
    <w:p w:rsidR="00502C7E" w:rsidRDefault="00C73BAD" w:rsidP="00B95480">
      <w:pPr>
        <w:autoSpaceDE w:val="0"/>
        <w:autoSpaceDN w:val="0"/>
        <w:adjustRightInd w:val="0"/>
        <w:spacing w:line="240" w:lineRule="auto"/>
        <w:ind w:firstLine="709"/>
        <w:jc w:val="both"/>
      </w:pPr>
      <w:r w:rsidRPr="00C73BAD">
        <w:rPr>
          <w:b/>
        </w:rPr>
        <w:t xml:space="preserve">Степень внедрения результатов </w:t>
      </w:r>
      <w:r w:rsidR="00760091">
        <w:rPr>
          <w:b/>
        </w:rPr>
        <w:t>исследования</w:t>
      </w:r>
      <w:r>
        <w:t xml:space="preserve">. </w:t>
      </w:r>
      <w:r w:rsidR="00502C7E">
        <w:t>Работа выполнена в интересах Центра стратегических разработок. По результатам исследования было подготовлено 13 аналитических записок. Материалы исследования использовались в рамках подготовки совещаний и круглых столов при Совете Федерации Федерального собрания, в Центре стратегических разработок, на совещаниях в органах власти субъектов федерации (Тюменская область, Республика Татарстан).</w:t>
      </w:r>
    </w:p>
    <w:p w:rsidR="002247B1" w:rsidRPr="00604613" w:rsidRDefault="00760091" w:rsidP="00A34F9C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</w:rPr>
      </w:pPr>
      <w:r w:rsidRPr="00760091">
        <w:rPr>
          <w:b/>
        </w:rPr>
        <w:t>Р</w:t>
      </w:r>
      <w:r w:rsidR="00502C7E" w:rsidRPr="00760091">
        <w:rPr>
          <w:b/>
        </w:rPr>
        <w:t>екомендации</w:t>
      </w:r>
      <w:r w:rsidR="00502C7E">
        <w:t xml:space="preserve">, сформулированные по итогам исследования, могут быть использованы для совершенствования законодательства Российской Федерации в сфере культуры и охраны культурного наследия, консультирования органов государственной власти по вопросам развития культуры, социальной политики и регионального развития, по </w:t>
      </w:r>
      <w:r w:rsidR="00502C7E" w:rsidRPr="00604613">
        <w:t>выработке мероприятий, направленных на развитие человеческого капитала страны в целом</w:t>
      </w:r>
      <w:bookmarkStart w:id="0" w:name="_GoBack"/>
      <w:r w:rsidR="00502C7E" w:rsidRPr="00604613">
        <w:rPr>
          <w:b/>
        </w:rPr>
        <w:t>.</w:t>
      </w:r>
      <w:r w:rsidRPr="00604613">
        <w:rPr>
          <w:b/>
        </w:rPr>
        <w:t xml:space="preserve"> </w:t>
      </w:r>
      <w:bookmarkEnd w:id="0"/>
    </w:p>
    <w:sectPr w:rsidR="002247B1" w:rsidRPr="00604613" w:rsidSect="0060461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3F" w:rsidRDefault="009C243F" w:rsidP="00604613">
      <w:pPr>
        <w:spacing w:line="240" w:lineRule="auto"/>
      </w:pPr>
      <w:r>
        <w:separator/>
      </w:r>
    </w:p>
  </w:endnote>
  <w:endnote w:type="continuationSeparator" w:id="0">
    <w:p w:rsidR="009C243F" w:rsidRDefault="009C243F" w:rsidP="00604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568082"/>
      <w:docPartObj>
        <w:docPartGallery w:val="Page Numbers (Bottom of Page)"/>
        <w:docPartUnique/>
      </w:docPartObj>
    </w:sdtPr>
    <w:sdtContent>
      <w:p w:rsidR="00604613" w:rsidRDefault="006046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3F" w:rsidRDefault="009C243F" w:rsidP="00604613">
      <w:pPr>
        <w:spacing w:line="240" w:lineRule="auto"/>
      </w:pPr>
      <w:r>
        <w:separator/>
      </w:r>
    </w:p>
  </w:footnote>
  <w:footnote w:type="continuationSeparator" w:id="0">
    <w:p w:rsidR="009C243F" w:rsidRDefault="009C243F" w:rsidP="006046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E2243"/>
    <w:multiLevelType w:val="hybridMultilevel"/>
    <w:tmpl w:val="41D4E084"/>
    <w:lvl w:ilvl="0" w:tplc="E7D6932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037E5B"/>
    <w:multiLevelType w:val="hybridMultilevel"/>
    <w:tmpl w:val="95C0918C"/>
    <w:lvl w:ilvl="0" w:tplc="A3F0D8E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CF"/>
    <w:rsid w:val="000134D1"/>
    <w:rsid w:val="00092761"/>
    <w:rsid w:val="000A4566"/>
    <w:rsid w:val="00156AE1"/>
    <w:rsid w:val="001B3B3A"/>
    <w:rsid w:val="002247B1"/>
    <w:rsid w:val="0026328F"/>
    <w:rsid w:val="00502C7E"/>
    <w:rsid w:val="005A4F68"/>
    <w:rsid w:val="00604613"/>
    <w:rsid w:val="006250CF"/>
    <w:rsid w:val="00664C76"/>
    <w:rsid w:val="006736A1"/>
    <w:rsid w:val="006C4435"/>
    <w:rsid w:val="006D14CD"/>
    <w:rsid w:val="006D4894"/>
    <w:rsid w:val="007114CC"/>
    <w:rsid w:val="007134CB"/>
    <w:rsid w:val="00760091"/>
    <w:rsid w:val="00774BED"/>
    <w:rsid w:val="007D6F0A"/>
    <w:rsid w:val="00825A22"/>
    <w:rsid w:val="00843B7B"/>
    <w:rsid w:val="00864A86"/>
    <w:rsid w:val="008D732A"/>
    <w:rsid w:val="009A07C9"/>
    <w:rsid w:val="009C243F"/>
    <w:rsid w:val="00A34F9C"/>
    <w:rsid w:val="00AD36F7"/>
    <w:rsid w:val="00B95480"/>
    <w:rsid w:val="00BE639A"/>
    <w:rsid w:val="00C343CE"/>
    <w:rsid w:val="00C408EF"/>
    <w:rsid w:val="00C73BAD"/>
    <w:rsid w:val="00CD0DD6"/>
    <w:rsid w:val="00D445BE"/>
    <w:rsid w:val="00DC7600"/>
    <w:rsid w:val="00DD481A"/>
    <w:rsid w:val="00EA5C27"/>
    <w:rsid w:val="00EE5689"/>
    <w:rsid w:val="00F9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7600"/>
    <w:pPr>
      <w:spacing w:line="240" w:lineRule="auto"/>
      <w:ind w:left="720"/>
      <w:contextualSpacing/>
    </w:pPr>
    <w:rPr>
      <w:color w:val="000000"/>
      <w:lang w:eastAsia="ru-RU"/>
    </w:rPr>
  </w:style>
  <w:style w:type="character" w:customStyle="1" w:styleId="a4">
    <w:name w:val="Абзац списка Знак"/>
    <w:link w:val="a3"/>
    <w:uiPriority w:val="34"/>
    <w:locked/>
    <w:rsid w:val="00DC7600"/>
    <w:rPr>
      <w:color w:val="000000"/>
      <w:lang w:eastAsia="ru-RU"/>
    </w:rPr>
  </w:style>
  <w:style w:type="paragraph" w:styleId="a5">
    <w:name w:val="Normal (Web)"/>
    <w:basedOn w:val="a"/>
    <w:uiPriority w:val="99"/>
    <w:semiHidden/>
    <w:rsid w:val="00C343CE"/>
    <w:pPr>
      <w:spacing w:before="100" w:beforeAutospacing="1" w:after="100" w:afterAutospacing="1" w:line="240" w:lineRule="auto"/>
    </w:pPr>
    <w:rPr>
      <w:rFonts w:eastAsia="Calibri"/>
      <w:lang w:eastAsia="ru-RU"/>
    </w:rPr>
  </w:style>
  <w:style w:type="paragraph" w:styleId="a6">
    <w:name w:val="Subtitle"/>
    <w:basedOn w:val="a"/>
    <w:next w:val="a"/>
    <w:link w:val="a7"/>
    <w:rsid w:val="00EE568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7">
    <w:name w:val="Подзаголовок Знак"/>
    <w:basedOn w:val="a0"/>
    <w:link w:val="a6"/>
    <w:rsid w:val="00EE568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60461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613"/>
  </w:style>
  <w:style w:type="paragraph" w:styleId="aa">
    <w:name w:val="footer"/>
    <w:basedOn w:val="a"/>
    <w:link w:val="ab"/>
    <w:uiPriority w:val="99"/>
    <w:unhideWhenUsed/>
    <w:rsid w:val="0060461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7600"/>
    <w:pPr>
      <w:spacing w:line="240" w:lineRule="auto"/>
      <w:ind w:left="720"/>
      <w:contextualSpacing/>
    </w:pPr>
    <w:rPr>
      <w:color w:val="000000"/>
      <w:lang w:eastAsia="ru-RU"/>
    </w:rPr>
  </w:style>
  <w:style w:type="character" w:customStyle="1" w:styleId="a4">
    <w:name w:val="Абзац списка Знак"/>
    <w:link w:val="a3"/>
    <w:uiPriority w:val="34"/>
    <w:locked/>
    <w:rsid w:val="00DC7600"/>
    <w:rPr>
      <w:color w:val="000000"/>
      <w:lang w:eastAsia="ru-RU"/>
    </w:rPr>
  </w:style>
  <w:style w:type="paragraph" w:styleId="a5">
    <w:name w:val="Normal (Web)"/>
    <w:basedOn w:val="a"/>
    <w:uiPriority w:val="99"/>
    <w:semiHidden/>
    <w:rsid w:val="00C343CE"/>
    <w:pPr>
      <w:spacing w:before="100" w:beforeAutospacing="1" w:after="100" w:afterAutospacing="1" w:line="240" w:lineRule="auto"/>
    </w:pPr>
    <w:rPr>
      <w:rFonts w:eastAsia="Calibri"/>
      <w:lang w:eastAsia="ru-RU"/>
    </w:rPr>
  </w:style>
  <w:style w:type="paragraph" w:styleId="a6">
    <w:name w:val="Subtitle"/>
    <w:basedOn w:val="a"/>
    <w:next w:val="a"/>
    <w:link w:val="a7"/>
    <w:rsid w:val="00EE568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7">
    <w:name w:val="Подзаголовок Знак"/>
    <w:basedOn w:val="a0"/>
    <w:link w:val="a6"/>
    <w:rsid w:val="00EE568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60461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613"/>
  </w:style>
  <w:style w:type="paragraph" w:styleId="aa">
    <w:name w:val="footer"/>
    <w:basedOn w:val="a"/>
    <w:link w:val="ab"/>
    <w:uiPriority w:val="99"/>
    <w:unhideWhenUsed/>
    <w:rsid w:val="0060461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3394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798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499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766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1846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Nica</cp:lastModifiedBy>
  <cp:revision>3</cp:revision>
  <dcterms:created xsi:type="dcterms:W3CDTF">2018-11-29T21:45:00Z</dcterms:created>
  <dcterms:modified xsi:type="dcterms:W3CDTF">2018-11-30T12:51:00Z</dcterms:modified>
</cp:coreProperties>
</file>