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FBE" w:rsidRPr="00CC3BC0" w:rsidRDefault="009E7FBE" w:rsidP="009E7FBE">
      <w:pPr>
        <w:pStyle w:val="a3"/>
        <w:widowControl/>
        <w:tabs>
          <w:tab w:val="left" w:pos="360"/>
        </w:tabs>
        <w:spacing w:line="360" w:lineRule="auto"/>
        <w:jc w:val="center"/>
        <w:outlineLvl w:val="0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:rsidR="009E7FBE" w:rsidRPr="009E7FBE" w:rsidRDefault="009E7FBE" w:rsidP="009E7FBE">
      <w:pPr>
        <w:pStyle w:val="a3"/>
        <w:widowControl/>
        <w:tabs>
          <w:tab w:val="left" w:pos="360"/>
        </w:tabs>
        <w:spacing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CC3BC0">
        <w:rPr>
          <w:rFonts w:ascii="Times New Roman" w:hAnsi="Times New Roman"/>
          <w:b/>
          <w:sz w:val="26"/>
          <w:szCs w:val="26"/>
        </w:rPr>
        <w:t>ТЗ-</w:t>
      </w:r>
      <w:r>
        <w:rPr>
          <w:rFonts w:ascii="Times New Roman" w:hAnsi="Times New Roman"/>
          <w:b/>
          <w:sz w:val="26"/>
          <w:szCs w:val="26"/>
        </w:rPr>
        <w:t>1</w:t>
      </w:r>
      <w:r w:rsidRPr="009E7FBE">
        <w:rPr>
          <w:rFonts w:ascii="Times New Roman" w:hAnsi="Times New Roman"/>
          <w:b/>
          <w:sz w:val="26"/>
          <w:szCs w:val="26"/>
        </w:rPr>
        <w:t>42</w:t>
      </w:r>
    </w:p>
    <w:p w:rsidR="009E7FBE" w:rsidRPr="007F602C" w:rsidRDefault="009E7FBE" w:rsidP="009E7FBE">
      <w:pPr>
        <w:pStyle w:val="a3"/>
        <w:widowControl/>
        <w:tabs>
          <w:tab w:val="left" w:pos="3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02C">
        <w:rPr>
          <w:rFonts w:ascii="Times New Roman" w:hAnsi="Times New Roman"/>
          <w:b/>
          <w:sz w:val="24"/>
          <w:szCs w:val="24"/>
        </w:rPr>
        <w:t>Тема: «</w:t>
      </w:r>
      <w:r w:rsidRPr="009E7FBE">
        <w:rPr>
          <w:rFonts w:ascii="Times New Roman" w:hAnsi="Times New Roman"/>
          <w:b/>
          <w:sz w:val="24"/>
          <w:szCs w:val="24"/>
        </w:rPr>
        <w:t>Прогнозирование развития пенсионной системы</w:t>
      </w:r>
      <w:r w:rsidRPr="007F602C">
        <w:rPr>
          <w:rFonts w:ascii="Times New Roman" w:hAnsi="Times New Roman"/>
          <w:b/>
          <w:sz w:val="24"/>
          <w:szCs w:val="24"/>
        </w:rPr>
        <w:t>»</w:t>
      </w:r>
    </w:p>
    <w:p w:rsidR="009E7FBE" w:rsidRPr="008D661C" w:rsidRDefault="009E7FBE" w:rsidP="009E7FBE">
      <w:pPr>
        <w:pStyle w:val="a3"/>
        <w:widowControl/>
        <w:tabs>
          <w:tab w:val="left" w:pos="360"/>
        </w:tabs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661C">
        <w:rPr>
          <w:rFonts w:ascii="Times New Roman" w:hAnsi="Times New Roman"/>
          <w:sz w:val="24"/>
          <w:szCs w:val="24"/>
        </w:rPr>
        <w:t>Руководитель: Л.Н. Овчарова</w:t>
      </w:r>
      <w:r>
        <w:rPr>
          <w:rFonts w:ascii="Times New Roman" w:hAnsi="Times New Roman"/>
          <w:sz w:val="24"/>
          <w:szCs w:val="24"/>
        </w:rPr>
        <w:t>, д.э.н., директор Института социальной политики</w:t>
      </w:r>
    </w:p>
    <w:p w:rsidR="009E7FBE" w:rsidRPr="008D661C" w:rsidRDefault="009E7FBE" w:rsidP="009E7FBE">
      <w:pPr>
        <w:pStyle w:val="a3"/>
        <w:widowControl/>
        <w:tabs>
          <w:tab w:val="left" w:pos="360"/>
        </w:tabs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661C">
        <w:rPr>
          <w:rFonts w:ascii="Times New Roman" w:hAnsi="Times New Roman"/>
          <w:sz w:val="24"/>
          <w:szCs w:val="24"/>
        </w:rPr>
        <w:t>Наименование подразделения: Институт социальной политики</w:t>
      </w:r>
    </w:p>
    <w:p w:rsidR="009E7FBE" w:rsidRPr="008D661C" w:rsidRDefault="009E7FBE" w:rsidP="009E7FBE">
      <w:pPr>
        <w:pStyle w:val="a7"/>
        <w:spacing w:line="360" w:lineRule="auto"/>
        <w:ind w:firstLine="709"/>
        <w:rPr>
          <w:sz w:val="24"/>
          <w:szCs w:val="24"/>
        </w:rPr>
      </w:pPr>
      <w:r w:rsidRPr="008D661C">
        <w:rPr>
          <w:b/>
          <w:sz w:val="24"/>
          <w:szCs w:val="24"/>
        </w:rPr>
        <w:t xml:space="preserve">Объектом исследования </w:t>
      </w:r>
      <w:r w:rsidRPr="008D661C">
        <w:rPr>
          <w:sz w:val="24"/>
          <w:szCs w:val="24"/>
        </w:rPr>
        <w:t>явля</w:t>
      </w:r>
      <w:r>
        <w:rPr>
          <w:sz w:val="24"/>
          <w:szCs w:val="24"/>
        </w:rPr>
        <w:t>е</w:t>
      </w:r>
      <w:r w:rsidRPr="008D661C">
        <w:rPr>
          <w:sz w:val="24"/>
          <w:szCs w:val="24"/>
        </w:rPr>
        <w:t>тся</w:t>
      </w:r>
      <w:r w:rsidRPr="008D661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пенсионная система Российской Федерации</w:t>
      </w:r>
      <w:r w:rsidRPr="008D661C">
        <w:rPr>
          <w:sz w:val="24"/>
        </w:rPr>
        <w:t>.</w:t>
      </w:r>
    </w:p>
    <w:p w:rsidR="009E7FBE" w:rsidRPr="008D661C" w:rsidRDefault="009E7FBE" w:rsidP="009E7FBE">
      <w:pPr>
        <w:pStyle w:val="a7"/>
        <w:spacing w:line="360" w:lineRule="auto"/>
        <w:ind w:firstLine="709"/>
        <w:rPr>
          <w:sz w:val="24"/>
          <w:szCs w:val="24"/>
        </w:rPr>
      </w:pPr>
      <w:r w:rsidRPr="008D661C">
        <w:rPr>
          <w:b/>
          <w:sz w:val="24"/>
        </w:rPr>
        <w:t>Цель работы</w:t>
      </w:r>
      <w:r w:rsidRPr="008D661C">
        <w:rPr>
          <w:sz w:val="24"/>
        </w:rPr>
        <w:t xml:space="preserve"> </w:t>
      </w:r>
      <w:r w:rsidRPr="001447DF">
        <w:rPr>
          <w:sz w:val="24"/>
          <w:szCs w:val="24"/>
        </w:rPr>
        <w:t xml:space="preserve">- </w:t>
      </w:r>
      <w:r w:rsidR="001447DF" w:rsidRPr="001447DF">
        <w:rPr>
          <w:sz w:val="24"/>
          <w:szCs w:val="24"/>
        </w:rPr>
        <w:t>прогнозирование развития российской пенсионной системы на макро- и микроуровнях</w:t>
      </w:r>
      <w:r w:rsidRPr="001447DF">
        <w:rPr>
          <w:sz w:val="24"/>
          <w:szCs w:val="24"/>
        </w:rPr>
        <w:t>.</w:t>
      </w:r>
    </w:p>
    <w:p w:rsidR="009E7FBE" w:rsidRPr="008D661C" w:rsidRDefault="001447DF" w:rsidP="00764BCB">
      <w:pPr>
        <w:pStyle w:val="a7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работе </w:t>
      </w:r>
      <w:r w:rsidR="009E7FBE" w:rsidRPr="008D661C">
        <w:rPr>
          <w:sz w:val="24"/>
          <w:szCs w:val="24"/>
        </w:rPr>
        <w:t xml:space="preserve">были использованы следующие </w:t>
      </w:r>
      <w:r w:rsidR="009E7FBE" w:rsidRPr="008D661C">
        <w:rPr>
          <w:b/>
          <w:sz w:val="24"/>
          <w:szCs w:val="24"/>
        </w:rPr>
        <w:t>методы:</w:t>
      </w:r>
      <w:r w:rsidR="009E7FB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(а) </w:t>
      </w:r>
      <w:r w:rsidRPr="008D661C">
        <w:rPr>
          <w:sz w:val="24"/>
          <w:szCs w:val="24"/>
        </w:rPr>
        <w:t>экспертиза</w:t>
      </w:r>
      <w:r>
        <w:rPr>
          <w:sz w:val="24"/>
          <w:szCs w:val="24"/>
        </w:rPr>
        <w:t xml:space="preserve"> нормативно-правовой базы; (б) анализ публикаций, обзоров и отчетов по тематике социального страхования и пенсионного обеспечения; (в) обзор публикаций в СМИ по теме пенсионных реформ; </w:t>
      </w:r>
      <w:r w:rsidR="00764BCB">
        <w:rPr>
          <w:sz w:val="24"/>
          <w:szCs w:val="24"/>
        </w:rPr>
        <w:t>(г) анализ сайтов МФЦ, отделений ФСС, информационного портала госуслуг;</w:t>
      </w:r>
      <w:r w:rsidR="00764BCB" w:rsidRPr="00764BCB">
        <w:rPr>
          <w:sz w:val="24"/>
          <w:szCs w:val="24"/>
        </w:rPr>
        <w:t xml:space="preserve"> </w:t>
      </w:r>
      <w:r w:rsidR="00764BCB">
        <w:rPr>
          <w:sz w:val="24"/>
          <w:szCs w:val="24"/>
        </w:rPr>
        <w:t xml:space="preserve">(д) </w:t>
      </w:r>
      <w:r>
        <w:rPr>
          <w:sz w:val="24"/>
          <w:szCs w:val="24"/>
        </w:rPr>
        <w:t xml:space="preserve">оценка основных показателей пенсионного обеспечения, публикуемых Федеральной службой государственной статистики и Пенсионным фондом России; </w:t>
      </w:r>
      <w:r w:rsidR="00764BCB">
        <w:rPr>
          <w:sz w:val="24"/>
          <w:szCs w:val="24"/>
        </w:rPr>
        <w:t>(е</w:t>
      </w:r>
      <w:r>
        <w:rPr>
          <w:sz w:val="24"/>
          <w:szCs w:val="24"/>
        </w:rPr>
        <w:t>) анализ микроданных выборочных обследований населения;</w:t>
      </w:r>
      <w:r w:rsidR="00764BCB">
        <w:rPr>
          <w:sz w:val="24"/>
          <w:szCs w:val="24"/>
        </w:rPr>
        <w:t xml:space="preserve"> (ж</w:t>
      </w:r>
      <w:r>
        <w:rPr>
          <w:sz w:val="24"/>
          <w:szCs w:val="24"/>
        </w:rPr>
        <w:t xml:space="preserve">) </w:t>
      </w:r>
      <w:r w:rsidR="009E7FBE">
        <w:rPr>
          <w:sz w:val="24"/>
          <w:szCs w:val="24"/>
        </w:rPr>
        <w:t xml:space="preserve">моделирование </w:t>
      </w:r>
      <w:r>
        <w:rPr>
          <w:sz w:val="24"/>
          <w:szCs w:val="24"/>
        </w:rPr>
        <w:t>сценариев развития пенсионной системы РФ</w:t>
      </w:r>
      <w:r w:rsidR="009E7FBE" w:rsidRPr="008D661C">
        <w:rPr>
          <w:sz w:val="24"/>
          <w:szCs w:val="24"/>
        </w:rPr>
        <w:t>.</w:t>
      </w:r>
    </w:p>
    <w:p w:rsidR="00FA05EB" w:rsidRPr="00FA05EB" w:rsidRDefault="009E7FBE" w:rsidP="00FA05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61C">
        <w:rPr>
          <w:rFonts w:ascii="Times New Roman" w:hAnsi="Times New Roman" w:cs="Times New Roman"/>
          <w:b/>
          <w:sz w:val="24"/>
          <w:szCs w:val="24"/>
        </w:rPr>
        <w:t xml:space="preserve">Эмпирическая база исследования. </w:t>
      </w:r>
      <w:r w:rsidR="00941790">
        <w:rPr>
          <w:rFonts w:ascii="Times New Roman" w:hAnsi="Times New Roman" w:cs="Times New Roman"/>
          <w:sz w:val="24"/>
        </w:rPr>
        <w:t xml:space="preserve">Экспертиза нормативно-правовой базы включала </w:t>
      </w:r>
      <w:r w:rsidR="00764BCB">
        <w:rPr>
          <w:rFonts w:ascii="Times New Roman" w:hAnsi="Times New Roman" w:cs="Times New Roman"/>
          <w:sz w:val="24"/>
        </w:rPr>
        <w:t xml:space="preserve">анализ федеральных законов, правительственных актов, указов Президента и других законодательных документов в области социального страхования, пенсионного обеспечения, </w:t>
      </w:r>
      <w:r w:rsidR="00FA05EB">
        <w:rPr>
          <w:rFonts w:ascii="Times New Roman" w:hAnsi="Times New Roman" w:cs="Times New Roman"/>
          <w:sz w:val="24"/>
        </w:rPr>
        <w:t xml:space="preserve">занятости, принятых </w:t>
      </w:r>
      <w:r w:rsidRPr="008D661C">
        <w:rPr>
          <w:rFonts w:ascii="Times New Roman" w:hAnsi="Times New Roman" w:cs="Times New Roman"/>
          <w:sz w:val="24"/>
        </w:rPr>
        <w:t>на федеральном и региональном уровне и размещенных в базах «К</w:t>
      </w:r>
      <w:r w:rsidR="00FA05EB">
        <w:rPr>
          <w:rFonts w:ascii="Times New Roman" w:hAnsi="Times New Roman" w:cs="Times New Roman"/>
          <w:sz w:val="24"/>
        </w:rPr>
        <w:t>онсультант» и «Гарант»</w:t>
      </w:r>
      <w:r w:rsidR="00FA05EB">
        <w:rPr>
          <w:rFonts w:ascii="Times New Roman" w:hAnsi="Times New Roman" w:cs="Times New Roman"/>
          <w:sz w:val="24"/>
          <w:szCs w:val="24"/>
        </w:rPr>
        <w:t>.</w:t>
      </w:r>
      <w:r w:rsidR="00036BC6">
        <w:rPr>
          <w:rFonts w:ascii="Times New Roman" w:hAnsi="Times New Roman" w:cs="Times New Roman"/>
          <w:sz w:val="24"/>
          <w:szCs w:val="24"/>
        </w:rPr>
        <w:t xml:space="preserve"> Информированность населения о социальных услугах, их доступность были оценены на основе посещения Интернет-страниц МФЦ, отделений ФСС и портала госуслуг (</w:t>
      </w:r>
      <w:hyperlink r:id="rId7" w:history="1">
        <w:r w:rsidR="00036BC6" w:rsidRPr="00A37D56">
          <w:rPr>
            <w:rStyle w:val="a9"/>
            <w:rFonts w:ascii="Times New Roman" w:hAnsi="Times New Roman" w:cs="Times New Roman"/>
            <w:sz w:val="24"/>
            <w:szCs w:val="24"/>
          </w:rPr>
          <w:t>https://www.gosuslugi.ru/</w:t>
        </w:r>
      </w:hyperlink>
      <w:r w:rsidR="00036BC6">
        <w:rPr>
          <w:rFonts w:ascii="Times New Roman" w:hAnsi="Times New Roman" w:cs="Times New Roman"/>
          <w:sz w:val="24"/>
          <w:szCs w:val="24"/>
        </w:rPr>
        <w:t xml:space="preserve">). </w:t>
      </w:r>
      <w:r w:rsidR="00FA05EB">
        <w:rPr>
          <w:rFonts w:ascii="Times New Roman" w:hAnsi="Times New Roman" w:cs="Times New Roman"/>
          <w:sz w:val="24"/>
          <w:szCs w:val="24"/>
        </w:rPr>
        <w:t>Для анализа научных публикаций и отчетов по указанной выше тематике были использованы официальные порталы международных организаций (Всемирный банк, ОЭСР, Евростат и др.), поисковые системы (</w:t>
      </w:r>
      <w:r w:rsidR="00FA05EB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FA05EB" w:rsidRPr="00FA05EB">
        <w:rPr>
          <w:rFonts w:ascii="Times New Roman" w:hAnsi="Times New Roman" w:cs="Times New Roman"/>
          <w:sz w:val="24"/>
          <w:szCs w:val="24"/>
        </w:rPr>
        <w:t xml:space="preserve"> </w:t>
      </w:r>
      <w:r w:rsidR="00FA05EB">
        <w:rPr>
          <w:rFonts w:ascii="Times New Roman" w:hAnsi="Times New Roman" w:cs="Times New Roman"/>
          <w:sz w:val="24"/>
          <w:szCs w:val="24"/>
          <w:lang w:val="en-US"/>
        </w:rPr>
        <w:t>Scholar</w:t>
      </w:r>
      <w:r w:rsidR="00FA05EB" w:rsidRPr="00FA05EB">
        <w:rPr>
          <w:rFonts w:ascii="Times New Roman" w:hAnsi="Times New Roman" w:cs="Times New Roman"/>
          <w:sz w:val="24"/>
          <w:szCs w:val="24"/>
        </w:rPr>
        <w:t xml:space="preserve">, </w:t>
      </w:r>
      <w:r w:rsidR="00FA05EB"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="00FA05EB" w:rsidRPr="00FA05EB">
        <w:rPr>
          <w:rFonts w:ascii="Times New Roman" w:hAnsi="Times New Roman" w:cs="Times New Roman"/>
          <w:sz w:val="24"/>
          <w:szCs w:val="24"/>
        </w:rPr>
        <w:t>).</w:t>
      </w:r>
      <w:r w:rsidR="00FA0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5EB" w:rsidRDefault="00FA05EB" w:rsidP="00FA05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Источником данных о показателях пенсионного обеспечения, занятости лиц предпенсионного возраста являются данные Пенсионного фонда РФ, бюджетов ПФР, Федеральной службы государственной статистики, Микропереписи населения 2015 г., Обследования рабочей силы Росстата за 2015 г., </w:t>
      </w:r>
      <w:r w:rsidRPr="003575EA">
        <w:rPr>
          <w:rFonts w:ascii="Times New Roman" w:hAnsi="Times New Roman" w:cs="Times New Roman"/>
          <w:sz w:val="24"/>
        </w:rPr>
        <w:t>Российск</w:t>
      </w:r>
      <w:r>
        <w:rPr>
          <w:rFonts w:ascii="Times New Roman" w:hAnsi="Times New Roman" w:cs="Times New Roman"/>
          <w:sz w:val="24"/>
        </w:rPr>
        <w:t>ого</w:t>
      </w:r>
      <w:r w:rsidRPr="003575EA">
        <w:rPr>
          <w:rFonts w:ascii="Times New Roman" w:hAnsi="Times New Roman" w:cs="Times New Roman"/>
          <w:sz w:val="24"/>
        </w:rPr>
        <w:t xml:space="preserve"> мониторинг</w:t>
      </w:r>
      <w:r>
        <w:rPr>
          <w:rFonts w:ascii="Times New Roman" w:hAnsi="Times New Roman" w:cs="Times New Roman"/>
          <w:sz w:val="24"/>
        </w:rPr>
        <w:t>а</w:t>
      </w:r>
      <w:r w:rsidRPr="003575EA">
        <w:rPr>
          <w:rFonts w:ascii="Times New Roman" w:hAnsi="Times New Roman" w:cs="Times New Roman"/>
          <w:sz w:val="24"/>
        </w:rPr>
        <w:t xml:space="preserve"> экономического положения и здоровья населения НИУ ВШЭ (РМЭЗ-ВШЭ)</w:t>
      </w:r>
      <w:r>
        <w:rPr>
          <w:rFonts w:ascii="Times New Roman" w:hAnsi="Times New Roman" w:cs="Times New Roman"/>
          <w:sz w:val="24"/>
        </w:rPr>
        <w:t xml:space="preserve"> за 2015-2017 гг.,</w:t>
      </w:r>
      <w:r w:rsidRPr="00FA05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661C">
        <w:rPr>
          <w:rFonts w:ascii="Times New Roman" w:eastAsia="Times New Roman" w:hAnsi="Times New Roman"/>
          <w:sz w:val="24"/>
          <w:szCs w:val="24"/>
          <w:lang w:eastAsia="ru-RU"/>
        </w:rPr>
        <w:t>Выборочного наблюдения доходов населения и участия в социальных программах (ВНДН)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2012, 2015 и 2017 гг.</w:t>
      </w:r>
      <w:r w:rsidR="007D7567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Отношение населения к пенсионной реформе в России также изучено на данных выборочных обследований «Родители и дети, мужчины и женщины» (РиДМиЖ) 2011 г., </w:t>
      </w:r>
      <w:r w:rsidR="007D7567" w:rsidRPr="0059508F">
        <w:rPr>
          <w:rFonts w:ascii="Times New Roman" w:hAnsi="Times New Roman" w:cs="Times New Roman"/>
          <w:sz w:val="24"/>
          <w:szCs w:val="24"/>
        </w:rPr>
        <w:lastRenderedPageBreak/>
        <w:t>«Готовность к переменам» 2016 и 2018 гг.</w:t>
      </w:r>
      <w:r w:rsidR="007D7567">
        <w:rPr>
          <w:rFonts w:ascii="Times New Roman" w:hAnsi="Times New Roman" w:cs="Times New Roman"/>
          <w:sz w:val="24"/>
          <w:szCs w:val="24"/>
        </w:rPr>
        <w:t xml:space="preserve">, </w:t>
      </w:r>
      <w:r w:rsidR="007D7567" w:rsidRPr="0059508F">
        <w:rPr>
          <w:rFonts w:ascii="Times New Roman" w:hAnsi="Times New Roman" w:cs="Times New Roman"/>
          <w:sz w:val="24"/>
          <w:szCs w:val="24"/>
        </w:rPr>
        <w:t xml:space="preserve">качественного исследования </w:t>
      </w:r>
      <w:r w:rsidR="007D7567" w:rsidRPr="0059508F">
        <w:rPr>
          <w:rFonts w:ascii="Times New Roman" w:hAnsi="Times New Roman" w:cs="Times New Roman"/>
          <w:sz w:val="24"/>
          <w:szCs w:val="24"/>
          <w:lang w:val="en-US"/>
        </w:rPr>
        <w:t>Validata</w:t>
      </w:r>
      <w:r w:rsidR="007D7567" w:rsidRPr="0059508F">
        <w:rPr>
          <w:rFonts w:ascii="Times New Roman" w:hAnsi="Times New Roman" w:cs="Times New Roman"/>
          <w:sz w:val="24"/>
          <w:szCs w:val="24"/>
        </w:rPr>
        <w:t xml:space="preserve"> «Тестирование мер государственной политики» 2017 г.</w:t>
      </w:r>
    </w:p>
    <w:p w:rsidR="007D7567" w:rsidRDefault="009E7FBE" w:rsidP="007D7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моделировании </w:t>
      </w:r>
      <w:r w:rsidR="007D7567">
        <w:rPr>
          <w:rFonts w:ascii="Times New Roman" w:hAnsi="Times New Roman" w:cs="Times New Roman"/>
          <w:sz w:val="24"/>
          <w:szCs w:val="24"/>
        </w:rPr>
        <w:t xml:space="preserve">развития российской пенсионной системы также </w:t>
      </w:r>
      <w:r>
        <w:rPr>
          <w:rFonts w:ascii="Times New Roman" w:hAnsi="Times New Roman" w:cs="Times New Roman"/>
          <w:sz w:val="24"/>
          <w:szCs w:val="24"/>
        </w:rPr>
        <w:t xml:space="preserve">применялись </w:t>
      </w:r>
      <w:r w:rsidR="007D7567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7D7567" w:rsidRPr="007D7567">
        <w:rPr>
          <w:rFonts w:ascii="Times New Roman" w:hAnsi="Times New Roman" w:cs="Times New Roman"/>
          <w:sz w:val="24"/>
          <w:szCs w:val="24"/>
        </w:rPr>
        <w:t>Федеральной службой государственной статистики</w:t>
      </w:r>
      <w:r w:rsidR="007D7567">
        <w:rPr>
          <w:rFonts w:ascii="Times New Roman" w:hAnsi="Times New Roman" w:cs="Times New Roman"/>
          <w:sz w:val="24"/>
          <w:szCs w:val="24"/>
        </w:rPr>
        <w:t xml:space="preserve"> об уровне рождаемости, смертности и миграции, уровне экономической активности и занятости на 31.12.2016, прогнозы уровня рождаемости и нетто-миграции Института демографии НИУ ВШЭ, </w:t>
      </w:r>
      <w:r w:rsidR="003D00B4">
        <w:rPr>
          <w:rFonts w:ascii="Times New Roman" w:hAnsi="Times New Roman" w:cs="Times New Roman"/>
          <w:sz w:val="24"/>
          <w:szCs w:val="24"/>
        </w:rPr>
        <w:t>предположения об уровне инфляции, темпе роста заработной платы, темпе роста ВВП.</w:t>
      </w:r>
    </w:p>
    <w:p w:rsidR="009E7FBE" w:rsidRPr="008D661C" w:rsidRDefault="009E7FBE" w:rsidP="009E7FBE">
      <w:pPr>
        <w:pStyle w:val="a7"/>
        <w:spacing w:line="360" w:lineRule="auto"/>
        <w:ind w:firstLine="709"/>
        <w:jc w:val="left"/>
        <w:outlineLvl w:val="0"/>
        <w:rPr>
          <w:b/>
          <w:sz w:val="24"/>
          <w:szCs w:val="24"/>
        </w:rPr>
      </w:pPr>
      <w:r w:rsidRPr="008D661C">
        <w:rPr>
          <w:b/>
          <w:sz w:val="24"/>
          <w:szCs w:val="24"/>
        </w:rPr>
        <w:t>Результаты исследования:</w:t>
      </w:r>
    </w:p>
    <w:p w:rsidR="009E7FBE" w:rsidRPr="000A7743" w:rsidRDefault="000A7743" w:rsidP="000A7743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основе микроданных выборочных обследований дана оценка доли лиц, не работающих и не получающих пенсию, в общей численности лиц предпенсионных возрастов. По самым скромным оценкам, эта доля составляет 8-11% среди мужчин 50-59 лет и женщин 45-54 лет. Учитывая высокие риски бедности указанной категории населения, был сделан прогноз численности этой группы в условиях повышения пенсионного возраста, а также потенциальных расходов государства на выплату социальных пособий неработающим лицам предпенсионного возраста. Предполагалось, что выплаты осущес</w:t>
      </w:r>
      <w:r w:rsidR="00775266">
        <w:rPr>
          <w:rFonts w:ascii="Times New Roman" w:hAnsi="Times New Roman" w:cs="Times New Roman"/>
          <w:sz w:val="24"/>
        </w:rPr>
        <w:t>твляются в период проведения реформы лицам старше действующего пенсионного возраста, но ниже возраста выхода на пенсию по новым правилам. Численность потенциальных получателей выплат достигнет максимума в 2028 г. (115,5 – 170,0 тыс. чел. в зависимости от сценария прогноза). Максимальные (в 2028 г.) ежегодные расходы на выплату пособий</w:t>
      </w:r>
      <w:r>
        <w:rPr>
          <w:rFonts w:ascii="Times New Roman" w:hAnsi="Times New Roman" w:cs="Times New Roman"/>
          <w:sz w:val="24"/>
        </w:rPr>
        <w:t xml:space="preserve"> </w:t>
      </w:r>
      <w:r w:rsidR="00775266">
        <w:rPr>
          <w:rFonts w:ascii="Times New Roman" w:hAnsi="Times New Roman" w:cs="Times New Roman"/>
          <w:sz w:val="24"/>
        </w:rPr>
        <w:t>составят 0,0092% - 0,0100% ВВП</w:t>
      </w:r>
      <w:r w:rsidRPr="000A7743">
        <w:rPr>
          <w:rFonts w:ascii="Times New Roman" w:hAnsi="Times New Roman" w:cs="Times New Roman"/>
          <w:sz w:val="24"/>
        </w:rPr>
        <w:t xml:space="preserve"> </w:t>
      </w:r>
      <w:r w:rsidR="00775266">
        <w:rPr>
          <w:rFonts w:ascii="Times New Roman" w:hAnsi="Times New Roman" w:cs="Times New Roman"/>
          <w:sz w:val="24"/>
        </w:rPr>
        <w:t>в случае их назначения обратившимся в службу занятости и 0,136% - 0,148% ВВП при их назначении всем неработающим лицам предпенсионного возраста, за исключением домохозяек и не желающих работать.</w:t>
      </w:r>
      <w:r w:rsidRPr="000A7743">
        <w:rPr>
          <w:rFonts w:ascii="Times New Roman" w:hAnsi="Times New Roman" w:cs="Times New Roman"/>
          <w:sz w:val="24"/>
        </w:rPr>
        <w:t xml:space="preserve"> </w:t>
      </w:r>
      <w:r w:rsidR="009E7FBE" w:rsidRPr="000A7743">
        <w:rPr>
          <w:rFonts w:ascii="Times New Roman" w:hAnsi="Times New Roman" w:cs="Times New Roman"/>
          <w:sz w:val="24"/>
        </w:rPr>
        <w:t xml:space="preserve"> </w:t>
      </w:r>
    </w:p>
    <w:p w:rsidR="00607B1A" w:rsidRDefault="00607B1A" w:rsidP="009E7FB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Обобщение зарубежного опыта реформирования пенсионных систем показало, что проводимые реформы направлены, главным образом, на </w:t>
      </w:r>
      <w:r w:rsidR="004E79E8">
        <w:rPr>
          <w:rFonts w:ascii="Times New Roman" w:hAnsi="Times New Roman" w:cs="Times New Roman"/>
          <w:sz w:val="24"/>
        </w:rPr>
        <w:t>стабилизацию финансовой устойчивости систем, уменьшение дефицита. В ответ на демографические вызовы большинство стран прошли через повышение пенсионного возраста и его выравнивание для мужчин и женщин. В дополнение к ним правительства многих стран прибегли к изменению правил индексации пенсий, повышению ставки страховых взносов. Общемировой тенденцией развития пенсионного обеспечения является расширение частных, профессиональных, добровольных накоплений.</w:t>
      </w:r>
      <w:r w:rsidR="00B73E5E">
        <w:rPr>
          <w:rFonts w:ascii="Times New Roman" w:hAnsi="Times New Roman" w:cs="Times New Roman"/>
          <w:sz w:val="24"/>
        </w:rPr>
        <w:t xml:space="preserve"> Одной из форм реализации частных пенсионных накоплений выступает автоподписка, позволяющая охватить дополнительным пенсионным обеспечением большую часть или отдельные группы работников. В настоящее время в России обсуждается введение автоподписки на пенсионные накопления в виде индивидуального пенсионного капитала (ИПК). Кроме этого, для поддержания финансовой устойчивости пенсионных систем  в странах с природно-экспортной экономикой созданы суверенные фонды национального </w:t>
      </w:r>
      <w:r w:rsidR="00B73E5E">
        <w:rPr>
          <w:rFonts w:ascii="Times New Roman" w:hAnsi="Times New Roman" w:cs="Times New Roman"/>
          <w:sz w:val="24"/>
        </w:rPr>
        <w:lastRenderedPageBreak/>
        <w:t xml:space="preserve">благосостояния, являющиеся источником долгосрочных инвестиций, за счет которых пополняются бюджеты пенсионных фондов. </w:t>
      </w:r>
    </w:p>
    <w:p w:rsidR="009E7FBE" w:rsidRPr="00210226" w:rsidRDefault="009E7FBE" w:rsidP="009E7FB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10226">
        <w:rPr>
          <w:rFonts w:ascii="Times New Roman" w:hAnsi="Times New Roman" w:cs="Times New Roman"/>
          <w:sz w:val="24"/>
        </w:rPr>
        <w:t xml:space="preserve">Анализ </w:t>
      </w:r>
      <w:r w:rsidR="007C3612">
        <w:rPr>
          <w:rFonts w:ascii="Times New Roman" w:hAnsi="Times New Roman" w:cs="Times New Roman"/>
          <w:sz w:val="24"/>
        </w:rPr>
        <w:t xml:space="preserve">основных показателей пенсионного обеспечения показал, что кризис 2013-2014 гг. привел к ощутимому снижению реального размера пенсии, который пока так и не достиг докризисного уровня. При этом изменилась структура доходов домохозяйств с пенсионерами: доля пенсионных доходов сократилась на фоне роста доли трудовых доходов. Экономический кризис вкупе с демографическими вызовами – старением населения и увеличением численности пенсионеров – привели к росту расходов ПФР до 9,09% ВВП в 2016 г. и дефициту бюджета ПФР. Сложившаяся ситуация во многом обусловила внесение в Государственную Думу законопроекта, а затем принятие закона, предусматривающего повышение пенсионного возраста. </w:t>
      </w:r>
      <w:r w:rsidR="0057386F">
        <w:rPr>
          <w:rFonts w:ascii="Times New Roman" w:hAnsi="Times New Roman" w:cs="Times New Roman"/>
          <w:sz w:val="24"/>
        </w:rPr>
        <w:t xml:space="preserve">По мнению многих экспертов, основания для повышения пенсионного возраста в России есть: снижение смертности, в т.ч. в старших возрастах, изменение характера труда, увеличение уровня занятости населения старше трудоспособного возраста и т.д. </w:t>
      </w:r>
      <w:r w:rsidR="00833ED7">
        <w:rPr>
          <w:rFonts w:ascii="Times New Roman" w:hAnsi="Times New Roman" w:cs="Times New Roman"/>
          <w:sz w:val="24"/>
        </w:rPr>
        <w:t>Население России восприняло очередную реформу пенсионной системы крайне негативно, что связано с отсутствием доверия к реформам в этой сфере и ПФР, недостатком публичной дискуссии по данному вопросу и массовой разъяснительной работы с населением. Кроме того, темпы повышения и границы нового пенсионного возраста представляются несколько завышенными, даже по международным меркам.</w:t>
      </w:r>
    </w:p>
    <w:p w:rsidR="009E7FBE" w:rsidRDefault="00833ED7" w:rsidP="009E7FB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Оценка потенциала ИПК в России показала, что минимальная граница уровня участия трудоспособного населения в новой форме пенсионных накоплений составляет 6,24% - 6,32%. Остается низкой осведомленность населения о системе ИПК – лишь 22,4% что-либо слышали об этом. Основными барьерами развития системы ИПК в России может стать высокий уровень недоверия населения к НПФ, а также ориентированность на госуда</w:t>
      </w:r>
      <w:r w:rsidR="00E03A91">
        <w:rPr>
          <w:rFonts w:ascii="Times New Roman" w:hAnsi="Times New Roman" w:cs="Times New Roman"/>
          <w:sz w:val="24"/>
        </w:rPr>
        <w:t>рственную поддержку в старости.</w:t>
      </w:r>
    </w:p>
    <w:p w:rsidR="009E7FBE" w:rsidRPr="00210226" w:rsidRDefault="00F778F7" w:rsidP="009E7FB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Проведенная на примере субъекта РФ оценка предоставления социальных услуг по административному, территориальному и информационному критериям показала, что дистанционная форма позволяет упростить и ускорить  процесс получения услуг, однако не исключает в полной мере посещение социальных служб и учреждений. Многочисленные электронные сервисы (Портал госуслуг РФ, сайты МФЦ и т.д.) не решают проблему фрагментарности информации. Для сокращения числа посещений социальных служб необходимо межведомственное взаимодействие, которое должно сопровождаться интеграцией информационных баз, более активным межрегиональным сотрудничеством и т.д.</w:t>
      </w:r>
    </w:p>
    <w:p w:rsidR="009E7FBE" w:rsidRDefault="00373841" w:rsidP="009E7FB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Перспективным направлением сокращения административных расходов в социальной сфере является интеграция социальных страховых фондов. Вместе с тем, важно понимать, что автономные страховые фонды имеют свои преимущества, т.к. учитывают особенности профессиональной деятельности и страхуемых рисков, что обеспечивает им </w:t>
      </w:r>
      <w:r>
        <w:rPr>
          <w:rFonts w:ascii="Times New Roman" w:hAnsi="Times New Roman" w:cs="Times New Roman"/>
          <w:sz w:val="24"/>
        </w:rPr>
        <w:lastRenderedPageBreak/>
        <w:t>финансовую устойчивость. В России сформировались относительно автономные страховые фонды, интеграция которых может негативно повлиять на существующую систему социального страхования. В зарубежной практике есть успешные примеры функционирования и универсального (бюджетного), и страхового (внебюджетного) администрирования, однако первый подход чаще применяется в странах с высоким уровне жизни населения.</w:t>
      </w:r>
      <w:r w:rsidR="003B653D">
        <w:rPr>
          <w:rFonts w:ascii="Times New Roman" w:hAnsi="Times New Roman" w:cs="Times New Roman"/>
          <w:sz w:val="24"/>
        </w:rPr>
        <w:t xml:space="preserve"> Введение такого подхода в России может спровоцировать рост бедности населения.</w:t>
      </w:r>
      <w:r w:rsidR="001E3BC7">
        <w:rPr>
          <w:rFonts w:ascii="Times New Roman" w:hAnsi="Times New Roman" w:cs="Times New Roman"/>
          <w:sz w:val="24"/>
        </w:rPr>
        <w:t xml:space="preserve"> Более обоснованным представляется дальнейшее развитие профессиональной компоненты в социальном страховании.</w:t>
      </w:r>
    </w:p>
    <w:p w:rsidR="001E3BC7" w:rsidRPr="00210226" w:rsidRDefault="00DE31ED" w:rsidP="009E7FB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Моделирование сценариев развития российской пенсионной системы позволило сделать некоторые выводы о возможных направлениях реформирования системы пенсионного обеспечения в России. В существующих параметрах пенсионного обеспечения сохранение текущей ставки замещения возможно только при увеличении бюджетных расходов. Повышение пенсионного возраста </w:t>
      </w:r>
      <w:r w:rsidR="00476D2B">
        <w:rPr>
          <w:rFonts w:ascii="Times New Roman" w:hAnsi="Times New Roman" w:cs="Times New Roman"/>
          <w:sz w:val="24"/>
        </w:rPr>
        <w:t>повлияет на баланс пенсионной системы, но не решит в краткосрочной перспективе проблему финансовой устойчивости системы. Кроме этого, повышение пенсионного возраста будет сопровождаться ростом расходов на выплату досрочных пенсий по старости и пенсий по инвалидности (до 40% совокупного эффекта от повышения пенсионного возраста). Повышенные темпы индексации пенсий в течение первых 5 лет после старта реформы практически сведет на нет экономию бюджета ПФР от увеличения пенсионного возраста. Таким образом, финансовые выплаты в первые годы реформы будут перераспределены между различными возрастными группами населения, а размер бюджетного трансферта на покрытие дефицита ПФР почти не изменится.</w:t>
      </w:r>
    </w:p>
    <w:p w:rsidR="00BB2614" w:rsidRDefault="009E7FBE" w:rsidP="00FA6EEA">
      <w:pPr>
        <w:pStyle w:val="a7"/>
        <w:spacing w:line="360" w:lineRule="auto"/>
        <w:ind w:firstLine="709"/>
        <w:rPr>
          <w:sz w:val="24"/>
          <w:szCs w:val="24"/>
        </w:rPr>
      </w:pPr>
      <w:r w:rsidRPr="008D661C">
        <w:rPr>
          <w:b/>
          <w:sz w:val="24"/>
          <w:szCs w:val="24"/>
        </w:rPr>
        <w:t>Область применения.</w:t>
      </w:r>
      <w:r w:rsidRPr="008D661C">
        <w:rPr>
          <w:sz w:val="24"/>
          <w:szCs w:val="24"/>
        </w:rPr>
        <w:t xml:space="preserve"> </w:t>
      </w:r>
      <w:r w:rsidR="00B76DFA">
        <w:rPr>
          <w:sz w:val="24"/>
          <w:szCs w:val="24"/>
        </w:rPr>
        <w:t xml:space="preserve">Оценки текущего состояния пенсионной системы РФ и прогнозов ее развития, полученные в ходе выполнения проекта, могут быть использованы для смягчения последствий повышения пенсионного возраста, разработки дальнейших реформ в сфере пенсионного обеспечения и в области активного долголетия. Обобщение зарубежного опыта реформирования пенсионных систем в ответ на экономические и демографические вызовы </w:t>
      </w:r>
      <w:r w:rsidR="007E5F14">
        <w:rPr>
          <w:sz w:val="24"/>
          <w:szCs w:val="24"/>
        </w:rPr>
        <w:t>также может быть учтено в процессе последующего реформирования российской пенсионной системы. Сформулированные р</w:t>
      </w:r>
      <w:r w:rsidR="00B76DFA">
        <w:rPr>
          <w:sz w:val="24"/>
          <w:szCs w:val="24"/>
        </w:rPr>
        <w:t xml:space="preserve">екомендации по совершенствованию системы социального страхования в Российской Федерации могут </w:t>
      </w:r>
      <w:r w:rsidR="007E5F14">
        <w:rPr>
          <w:sz w:val="24"/>
          <w:szCs w:val="24"/>
        </w:rPr>
        <w:t>использоваться в ходе обсуждения ключевых направлений развития социального страхования, его новых компонентов и форм.</w:t>
      </w:r>
      <w:bookmarkStart w:id="0" w:name="_GoBack"/>
      <w:bookmarkEnd w:id="0"/>
    </w:p>
    <w:sectPr w:rsidR="00BB2614" w:rsidSect="00AE3E95">
      <w:footerReference w:type="default" r:id="rId8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784" w:rsidRDefault="00082784">
      <w:pPr>
        <w:spacing w:after="0" w:line="240" w:lineRule="auto"/>
      </w:pPr>
      <w:r>
        <w:separator/>
      </w:r>
    </w:p>
  </w:endnote>
  <w:endnote w:type="continuationSeparator" w:id="0">
    <w:p w:rsidR="00082784" w:rsidRDefault="0008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2497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3E95" w:rsidRPr="00AE3E95" w:rsidRDefault="007E5F1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3E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3E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3E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79A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E3E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784" w:rsidRDefault="00082784">
      <w:pPr>
        <w:spacing w:after="0" w:line="240" w:lineRule="auto"/>
      </w:pPr>
      <w:r>
        <w:separator/>
      </w:r>
    </w:p>
  </w:footnote>
  <w:footnote w:type="continuationSeparator" w:id="0">
    <w:p w:rsidR="00082784" w:rsidRDefault="0008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6E9C"/>
    <w:multiLevelType w:val="hybridMultilevel"/>
    <w:tmpl w:val="3A3EE30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BE"/>
    <w:rsid w:val="00036BC6"/>
    <w:rsid w:val="00082784"/>
    <w:rsid w:val="000A7743"/>
    <w:rsid w:val="001447DF"/>
    <w:rsid w:val="001E3BC7"/>
    <w:rsid w:val="00250246"/>
    <w:rsid w:val="0025345D"/>
    <w:rsid w:val="00373841"/>
    <w:rsid w:val="003B653D"/>
    <w:rsid w:val="003D00B4"/>
    <w:rsid w:val="004751C6"/>
    <w:rsid w:val="00476D2B"/>
    <w:rsid w:val="004E79E8"/>
    <w:rsid w:val="0057386F"/>
    <w:rsid w:val="00607B1A"/>
    <w:rsid w:val="007179A3"/>
    <w:rsid w:val="00764BCB"/>
    <w:rsid w:val="00775266"/>
    <w:rsid w:val="007C3612"/>
    <w:rsid w:val="007D7567"/>
    <w:rsid w:val="007E5F14"/>
    <w:rsid w:val="00833ED7"/>
    <w:rsid w:val="00941790"/>
    <w:rsid w:val="009E7FBE"/>
    <w:rsid w:val="00AC7F4A"/>
    <w:rsid w:val="00B73E5E"/>
    <w:rsid w:val="00B76DFA"/>
    <w:rsid w:val="00BB2614"/>
    <w:rsid w:val="00C23F17"/>
    <w:rsid w:val="00DE31ED"/>
    <w:rsid w:val="00E03A91"/>
    <w:rsid w:val="00F778F7"/>
    <w:rsid w:val="00FA05EB"/>
    <w:rsid w:val="00FA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3779A-A735-4ACD-B656-DCEDF84C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BE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9E7FBE"/>
    <w:pPr>
      <w:widowControl w:val="0"/>
      <w:autoSpaceDE w:val="0"/>
      <w:autoSpaceDN w:val="0"/>
      <w:spacing w:line="240" w:lineRule="auto"/>
      <w:ind w:firstLine="0"/>
      <w:jc w:val="left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E7FB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E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FBE"/>
  </w:style>
  <w:style w:type="paragraph" w:styleId="a7">
    <w:name w:val="Body Text Indent"/>
    <w:basedOn w:val="a"/>
    <w:link w:val="a8"/>
    <w:unhideWhenUsed/>
    <w:rsid w:val="009E7FBE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E7F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9E7FBE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5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Vexne</cp:lastModifiedBy>
  <cp:revision>2</cp:revision>
  <dcterms:created xsi:type="dcterms:W3CDTF">2018-12-02T06:41:00Z</dcterms:created>
  <dcterms:modified xsi:type="dcterms:W3CDTF">2018-12-02T06:41:00Z</dcterms:modified>
</cp:coreProperties>
</file>