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9ADEA" w14:textId="77777777" w:rsidR="002F249A" w:rsidRPr="005A602D" w:rsidRDefault="00D91E1B" w:rsidP="000F194A">
      <w:pPr>
        <w:pStyle w:val="a"/>
        <w:widowControl/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</w:rPr>
      </w:pPr>
      <w:r w:rsidRPr="005A602D">
        <w:rPr>
          <w:rFonts w:ascii="Times New Roman" w:hAnsi="Times New Roman"/>
          <w:b/>
          <w:sz w:val="24"/>
          <w:szCs w:val="24"/>
        </w:rPr>
        <w:t>Аннотация</w:t>
      </w:r>
    </w:p>
    <w:p w14:paraId="6171CB57" w14:textId="77777777" w:rsidR="00E72A7A" w:rsidRPr="005A602D" w:rsidRDefault="00E72A7A" w:rsidP="000F194A">
      <w:pPr>
        <w:pStyle w:val="a"/>
        <w:widowControl/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 w:rsidRPr="005A602D">
        <w:rPr>
          <w:rFonts w:ascii="Times New Roman" w:hAnsi="Times New Roman"/>
          <w:b/>
          <w:sz w:val="24"/>
          <w:szCs w:val="24"/>
        </w:rPr>
        <w:t>ТЗ-</w:t>
      </w:r>
      <w:r w:rsidR="002A3EE0" w:rsidRPr="005A602D">
        <w:rPr>
          <w:rFonts w:ascii="Times New Roman" w:hAnsi="Times New Roman"/>
          <w:b/>
          <w:sz w:val="24"/>
          <w:szCs w:val="24"/>
        </w:rPr>
        <w:t>1</w:t>
      </w:r>
      <w:r w:rsidR="001E7C61">
        <w:rPr>
          <w:rFonts w:ascii="Times New Roman" w:hAnsi="Times New Roman"/>
          <w:b/>
          <w:sz w:val="24"/>
          <w:szCs w:val="24"/>
        </w:rPr>
        <w:t>02</w:t>
      </w:r>
    </w:p>
    <w:p w14:paraId="6592A092" w14:textId="77777777" w:rsidR="00E72A7A" w:rsidRPr="00C10707" w:rsidRDefault="00E72A7A" w:rsidP="000F194A">
      <w:pPr>
        <w:pStyle w:val="a"/>
        <w:widowControl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526E452" w14:textId="77777777" w:rsidR="00E72A7A" w:rsidRPr="001E7C61" w:rsidRDefault="002F249A" w:rsidP="005A602D">
      <w:pPr>
        <w:pStyle w:val="a"/>
        <w:widowControl/>
        <w:tabs>
          <w:tab w:val="left" w:pos="36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602D">
        <w:rPr>
          <w:rFonts w:ascii="Times New Roman" w:hAnsi="Times New Roman"/>
          <w:sz w:val="24"/>
          <w:szCs w:val="24"/>
        </w:rPr>
        <w:t>Тема</w:t>
      </w:r>
      <w:r w:rsidRPr="001E7C61">
        <w:rPr>
          <w:rFonts w:ascii="Times New Roman" w:hAnsi="Times New Roman"/>
          <w:sz w:val="24"/>
          <w:szCs w:val="24"/>
        </w:rPr>
        <w:t xml:space="preserve">: </w:t>
      </w:r>
      <w:r w:rsidRPr="001E7C61">
        <w:rPr>
          <w:rFonts w:ascii="Times New Roman" w:hAnsi="Times New Roman"/>
          <w:b/>
          <w:sz w:val="24"/>
          <w:szCs w:val="24"/>
        </w:rPr>
        <w:t>«</w:t>
      </w:r>
      <w:r w:rsidR="001E7C61" w:rsidRPr="001E7C61">
        <w:rPr>
          <w:rFonts w:ascii="Times New Roman" w:hAnsi="Times New Roman"/>
          <w:sz w:val="24"/>
          <w:szCs w:val="24"/>
        </w:rPr>
        <w:t>Мониторинг основных изменений в доходах, расходах, потреблении и занятости населения</w:t>
      </w:r>
      <w:r w:rsidRPr="001E7C61">
        <w:rPr>
          <w:rFonts w:ascii="Times New Roman" w:hAnsi="Times New Roman"/>
          <w:b/>
          <w:sz w:val="24"/>
          <w:szCs w:val="24"/>
        </w:rPr>
        <w:t>»</w:t>
      </w:r>
    </w:p>
    <w:p w14:paraId="0011EB1F" w14:textId="77777777" w:rsidR="002A3EE0" w:rsidRPr="001E7C61" w:rsidRDefault="002A3EE0" w:rsidP="005A602D">
      <w:pPr>
        <w:pStyle w:val="a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1E7C61">
        <w:rPr>
          <w:rFonts w:ascii="Times New Roman" w:hAnsi="Times New Roman"/>
          <w:sz w:val="24"/>
          <w:szCs w:val="24"/>
        </w:rPr>
        <w:t xml:space="preserve">Руководитель: </w:t>
      </w:r>
      <w:r w:rsidR="001E7C61">
        <w:rPr>
          <w:rFonts w:ascii="Times New Roman" w:hAnsi="Times New Roman"/>
          <w:sz w:val="24"/>
          <w:szCs w:val="24"/>
        </w:rPr>
        <w:t>Овчарова Лилия Николаевна</w:t>
      </w:r>
    </w:p>
    <w:p w14:paraId="1DF1C38C" w14:textId="1FC1375A" w:rsidR="005A602D" w:rsidRDefault="002A3EE0" w:rsidP="00151E22">
      <w:pPr>
        <w:pStyle w:val="a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1E7C61">
        <w:rPr>
          <w:rFonts w:ascii="Times New Roman" w:hAnsi="Times New Roman"/>
          <w:sz w:val="24"/>
          <w:szCs w:val="24"/>
        </w:rPr>
        <w:t>Наименование подразделения: Институт социальной политики</w:t>
      </w:r>
    </w:p>
    <w:p w14:paraId="5EE79585" w14:textId="77777777" w:rsidR="00710133" w:rsidRPr="00931E66" w:rsidRDefault="00710133" w:rsidP="001E7C61">
      <w:pPr>
        <w:pStyle w:val="BodyTextIndent"/>
        <w:numPr>
          <w:ilvl w:val="0"/>
          <w:numId w:val="2"/>
        </w:numPr>
        <w:tabs>
          <w:tab w:val="left" w:pos="1134"/>
        </w:tabs>
        <w:ind w:left="0" w:firstLine="740"/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Цель работы:</w:t>
      </w:r>
      <w:r>
        <w:rPr>
          <w:sz w:val="24"/>
          <w:szCs w:val="24"/>
        </w:rPr>
        <w:t xml:space="preserve"> </w:t>
      </w:r>
      <w:r w:rsidR="001E7C61" w:rsidRPr="001E7C61">
        <w:rPr>
          <w:sz w:val="24"/>
          <w:szCs w:val="24"/>
        </w:rPr>
        <w:t>Целью научного исследования является организация регулярного мониторинга данных официальной статистики и данных специальных выборочных обследований населения по вопросам бедности и доходов населения, изменений в потребительском поведении и потребительских предпочтениях, а также самочувствии населения, в том числе отдельных групп домохозяйств для оценки кумулятивного влияния экономической рецессии 2014-2016 годов на сектор домашних хозяйств. Специальный акцент делается на изучении уровня жизни населения и уровня бедности, а также системы социальной поддержки в одном из регионов России и его административном центре (г.</w:t>
      </w:r>
      <w:r w:rsidR="00834851">
        <w:rPr>
          <w:sz w:val="24"/>
          <w:szCs w:val="24"/>
        </w:rPr>
        <w:t> </w:t>
      </w:r>
      <w:r w:rsidR="001E7C61" w:rsidRPr="001E7C61">
        <w:rPr>
          <w:sz w:val="24"/>
          <w:szCs w:val="24"/>
        </w:rPr>
        <w:t>Нижний Новгород).</w:t>
      </w:r>
    </w:p>
    <w:p w14:paraId="755FE9FA" w14:textId="7827D910" w:rsidR="00710133" w:rsidRPr="00E56FC3" w:rsidRDefault="00710133" w:rsidP="00E56FC3">
      <w:pPr>
        <w:pStyle w:val="BodyTextIndent"/>
        <w:numPr>
          <w:ilvl w:val="0"/>
          <w:numId w:val="2"/>
        </w:numPr>
        <w:tabs>
          <w:tab w:val="left" w:pos="1134"/>
        </w:tabs>
        <w:ind w:left="0" w:firstLine="740"/>
        <w:rPr>
          <w:b/>
          <w:sz w:val="24"/>
          <w:szCs w:val="24"/>
        </w:rPr>
      </w:pPr>
      <w:r>
        <w:rPr>
          <w:b/>
          <w:sz w:val="24"/>
          <w:szCs w:val="24"/>
        </w:rPr>
        <w:t>Используемые методы:</w:t>
      </w:r>
      <w:r w:rsidR="00E56FC3" w:rsidRPr="00E56FC3">
        <w:rPr>
          <w:b/>
          <w:sz w:val="24"/>
          <w:szCs w:val="24"/>
        </w:rPr>
        <w:t xml:space="preserve"> </w:t>
      </w:r>
      <w:r w:rsidR="00265A7F">
        <w:rPr>
          <w:sz w:val="24"/>
          <w:szCs w:val="24"/>
        </w:rPr>
        <w:t>И</w:t>
      </w:r>
      <w:r w:rsidR="00E56FC3" w:rsidRPr="00E56FC3">
        <w:rPr>
          <w:sz w:val="24"/>
          <w:szCs w:val="24"/>
        </w:rPr>
        <w:t xml:space="preserve">сследование выполнено с опорой на методы статистического анализа </w:t>
      </w:r>
      <w:r w:rsidR="00151E22">
        <w:rPr>
          <w:sz w:val="24"/>
          <w:szCs w:val="24"/>
        </w:rPr>
        <w:t>данных</w:t>
      </w:r>
      <w:r w:rsidR="00E56FC3" w:rsidRPr="00E56FC3">
        <w:rPr>
          <w:sz w:val="24"/>
          <w:szCs w:val="24"/>
        </w:rPr>
        <w:t xml:space="preserve"> официальной статистики и данных выборочных обследований населения, индексный метод обработки данных, методы кабинетного анализа научной литературы.</w:t>
      </w:r>
    </w:p>
    <w:p w14:paraId="7BA013C7" w14:textId="62CEAF60" w:rsidR="00710133" w:rsidRPr="00576728" w:rsidRDefault="00265A7F" w:rsidP="00E56FC3">
      <w:pPr>
        <w:pStyle w:val="BodyTextIndent"/>
        <w:numPr>
          <w:ilvl w:val="0"/>
          <w:numId w:val="2"/>
        </w:numPr>
        <w:tabs>
          <w:tab w:val="left" w:pos="1134"/>
        </w:tabs>
        <w:ind w:left="0" w:firstLine="740"/>
        <w:rPr>
          <w:b/>
          <w:sz w:val="24"/>
          <w:szCs w:val="24"/>
        </w:rPr>
      </w:pPr>
      <w:r>
        <w:rPr>
          <w:b/>
          <w:sz w:val="24"/>
          <w:szCs w:val="24"/>
        </w:rPr>
        <w:t>Эмпирическая база исследования</w:t>
      </w:r>
      <w:r w:rsidR="00710133">
        <w:rPr>
          <w:b/>
          <w:sz w:val="24"/>
          <w:szCs w:val="24"/>
        </w:rPr>
        <w:t xml:space="preserve"> </w:t>
      </w:r>
      <w:r w:rsidR="00E56FC3" w:rsidRPr="00E56FC3">
        <w:rPr>
          <w:sz w:val="24"/>
          <w:szCs w:val="24"/>
        </w:rPr>
        <w:t>включает данные Федеральной службы государственной статистики (в том числе оперативные), данные репрезентативных на уровне страны выборочных обследований населения, статистические сведения из международных баз данных (Всемирного Банка, ОЭСР и др.), научные и экспертные публикаций по вопросам бедности, потребления, социального обслуживания и др. вопросам, а также базу нормативных правовых документов, регулирующих сферу социальной поддержки населения в России на федеральном и региональном уровнях.</w:t>
      </w:r>
    </w:p>
    <w:p w14:paraId="729EB551" w14:textId="3447906D" w:rsidR="00D740BA" w:rsidRPr="00D740BA" w:rsidRDefault="00710133" w:rsidP="00D740BA">
      <w:pPr>
        <w:pStyle w:val="BodyTextIndent"/>
        <w:numPr>
          <w:ilvl w:val="0"/>
          <w:numId w:val="2"/>
        </w:numPr>
        <w:tabs>
          <w:tab w:val="left" w:pos="1134"/>
        </w:tabs>
        <w:ind w:left="0" w:firstLine="740"/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Результаты работы</w:t>
      </w:r>
      <w:r w:rsidR="00D740BA">
        <w:rPr>
          <w:b/>
          <w:sz w:val="24"/>
          <w:szCs w:val="24"/>
        </w:rPr>
        <w:t xml:space="preserve">: </w:t>
      </w:r>
      <w:r w:rsidR="003F367A">
        <w:rPr>
          <w:sz w:val="24"/>
          <w:szCs w:val="24"/>
        </w:rPr>
        <w:t>А</w:t>
      </w:r>
      <w:r w:rsidR="00D740BA" w:rsidRPr="00D740BA">
        <w:rPr>
          <w:sz w:val="24"/>
          <w:szCs w:val="24"/>
        </w:rPr>
        <w:t xml:space="preserve">нализ динамики благосостояния населения в 2018 г. показал, что </w:t>
      </w:r>
      <w:r w:rsidR="002439F5">
        <w:rPr>
          <w:sz w:val="24"/>
          <w:szCs w:val="24"/>
        </w:rPr>
        <w:t>н</w:t>
      </w:r>
      <w:r w:rsidR="00D740BA" w:rsidRPr="00D740BA">
        <w:rPr>
          <w:sz w:val="24"/>
          <w:szCs w:val="24"/>
        </w:rPr>
        <w:t xml:space="preserve">есмотря на переход к устойчивой положительной динамике пенсий и заработных плат в видимом сегменте экономики, падение предпринимательских доходов, доходов от собственности и оплаты труда в теневом секторе пока что не завершилось. </w:t>
      </w:r>
      <w:r w:rsidR="00265A7F">
        <w:rPr>
          <w:sz w:val="24"/>
          <w:szCs w:val="24"/>
        </w:rPr>
        <w:t>Так</w:t>
      </w:r>
      <w:r w:rsidR="00D740BA" w:rsidRPr="00D740BA">
        <w:rPr>
          <w:sz w:val="24"/>
          <w:szCs w:val="24"/>
        </w:rPr>
        <w:t xml:space="preserve">, что по итогам трех кварталов 2018 г. при увеличении заработных плат, на которые приходится почти 2/3 в структуре поступлений населения, на 8,4%, а пенсий — на 1,2%, увеличение совокупных доходов составило лишь 1,7%. По отношению к показателям, наблюдавшимся до начала экономического спада, уровень доходов населения в реальном выражении пока не восстановился: в третьем квартале 2018 г. он составил в среднем 87,4% от показателей за </w:t>
      </w:r>
      <w:r w:rsidR="00F20123">
        <w:rPr>
          <w:sz w:val="24"/>
          <w:szCs w:val="24"/>
        </w:rPr>
        <w:t>III</w:t>
      </w:r>
      <w:r w:rsidR="00D740BA" w:rsidRPr="00D740BA">
        <w:rPr>
          <w:sz w:val="24"/>
          <w:szCs w:val="24"/>
        </w:rPr>
        <w:t xml:space="preserve"> кв</w:t>
      </w:r>
      <w:r w:rsidR="00F20123">
        <w:rPr>
          <w:sz w:val="24"/>
          <w:szCs w:val="24"/>
        </w:rPr>
        <w:t>.</w:t>
      </w:r>
      <w:r w:rsidR="00D740BA" w:rsidRPr="00D740BA">
        <w:rPr>
          <w:sz w:val="24"/>
          <w:szCs w:val="24"/>
        </w:rPr>
        <w:t xml:space="preserve"> 2014 г</w:t>
      </w:r>
      <w:r w:rsidR="003F367A">
        <w:rPr>
          <w:sz w:val="24"/>
          <w:szCs w:val="24"/>
        </w:rPr>
        <w:t>.</w:t>
      </w:r>
      <w:r w:rsidR="00D740BA" w:rsidRPr="00D740BA">
        <w:rPr>
          <w:sz w:val="24"/>
          <w:szCs w:val="24"/>
        </w:rPr>
        <w:t>, и 89,6% — от показат</w:t>
      </w:r>
      <w:r w:rsidR="003F367A">
        <w:rPr>
          <w:sz w:val="24"/>
          <w:szCs w:val="24"/>
        </w:rPr>
        <w:t xml:space="preserve">елей за </w:t>
      </w:r>
      <w:r w:rsidR="00F20123">
        <w:rPr>
          <w:sz w:val="24"/>
          <w:szCs w:val="24"/>
        </w:rPr>
        <w:t>III</w:t>
      </w:r>
      <w:r w:rsidR="003F367A">
        <w:rPr>
          <w:sz w:val="24"/>
          <w:szCs w:val="24"/>
        </w:rPr>
        <w:t xml:space="preserve"> кв</w:t>
      </w:r>
      <w:r w:rsidR="00F20123">
        <w:rPr>
          <w:sz w:val="24"/>
          <w:szCs w:val="24"/>
        </w:rPr>
        <w:t>.</w:t>
      </w:r>
      <w:r w:rsidR="003F367A">
        <w:rPr>
          <w:sz w:val="24"/>
          <w:szCs w:val="24"/>
        </w:rPr>
        <w:t xml:space="preserve"> 2013 г</w:t>
      </w:r>
      <w:r w:rsidR="00D740BA" w:rsidRPr="00D740BA">
        <w:rPr>
          <w:sz w:val="24"/>
          <w:szCs w:val="24"/>
        </w:rPr>
        <w:t>. По заработным платам в видимом сегменте экономики аналогичные показатели достигли 101,1% и 101,7%, а по пенсиям — 93,4% и 94,1%.</w:t>
      </w:r>
    </w:p>
    <w:p w14:paraId="4D9EE959" w14:textId="6D381CD5" w:rsidR="00D740BA" w:rsidRPr="00D740BA" w:rsidRDefault="00D740BA" w:rsidP="00D740BA">
      <w:pPr>
        <w:pStyle w:val="1"/>
        <w:spacing w:line="240" w:lineRule="auto"/>
        <w:rPr>
          <w:kern w:val="0"/>
        </w:rPr>
      </w:pPr>
      <w:r w:rsidRPr="00D740BA">
        <w:rPr>
          <w:kern w:val="0"/>
        </w:rPr>
        <w:t xml:space="preserve">Восстановительная динамика доходов населения </w:t>
      </w:r>
      <w:r w:rsidR="003F367A" w:rsidRPr="00D740BA">
        <w:rPr>
          <w:kern w:val="0"/>
        </w:rPr>
        <w:t xml:space="preserve">в </w:t>
      </w:r>
      <w:r w:rsidR="003F367A">
        <w:rPr>
          <w:kern w:val="0"/>
        </w:rPr>
        <w:t>2018 г.</w:t>
      </w:r>
      <w:r w:rsidR="003F367A" w:rsidRPr="00D740BA">
        <w:rPr>
          <w:kern w:val="0"/>
        </w:rPr>
        <w:t xml:space="preserve"> </w:t>
      </w:r>
      <w:r w:rsidRPr="00D740BA">
        <w:rPr>
          <w:kern w:val="0"/>
        </w:rPr>
        <w:t>сопровождалась повышением неравенства в их распределении. По итогам трех кварталов 2018 г. индекс концентрации доходов Джини составил 0,402, что на 0,002 пункта превышает аналогичный показатель за 2017 г.; коэффициент фондов за прошедший год увеличился на 0,2 пункта, с 14,3 до 14,5 раз. Вместе с тем, пока что показатели неравенства остаются на уровне ниже того, что наблюдался до начала экономического спада: в 2014 г. индекс Джини по итогам трех кварталов составлял 0,414, а коэффициент фондов — 15,8 раз.</w:t>
      </w:r>
    </w:p>
    <w:p w14:paraId="646ADE29" w14:textId="578C822D" w:rsidR="00D740BA" w:rsidRPr="00D740BA" w:rsidRDefault="00D740BA" w:rsidP="00D74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использования денежных доходов населением свидетельствует о росте расходов на текущее потребление и постепенном ослаблении стратегий экономии и сбережений в течение 2018 г. В пользу этого говорит, во-первых, повышенная доля расходов на приобретение товаров и услуг по сравнению с показателями 2015-2017 гг. во все месяцы текущего года, а во-вторых — увеличение объема расходов на платежи с использованием банковских карт за рубежом в периоды отпусков. </w:t>
      </w:r>
      <w:r w:rsidR="00243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r w:rsidRPr="00D74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статистика </w:t>
      </w:r>
      <w:r w:rsidRPr="00D740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розничного оборота товаров и услуг не показывает ускорения в темпах восстановлен</w:t>
      </w:r>
      <w:r w:rsidR="00243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потребительской активности, а </w:t>
      </w:r>
      <w:r w:rsidRPr="00D740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банковской статистики</w:t>
      </w:r>
      <w:r w:rsidR="002439F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напротив,</w:t>
      </w:r>
      <w:r w:rsidRPr="00D74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продолжают показывать рост в секторе потребительского кредитования. </w:t>
      </w:r>
      <w:r w:rsidR="00A435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4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сновным драйвером такой динамики в текущем году стало снижение ставок по кредитам при одновременном снижении доходности депозитов: </w:t>
      </w:r>
      <w:r w:rsidR="00A435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переключило</w:t>
      </w:r>
      <w:r w:rsidRPr="00D74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население с накопления на потребление в краткосрочном периоде. В случае экономической нестабильности </w:t>
      </w:r>
      <w:r w:rsidR="00A435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</w:t>
      </w:r>
      <w:r w:rsidRPr="00D74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 станет источником повышенных рисков для банковской системы.</w:t>
      </w:r>
    </w:p>
    <w:p w14:paraId="72D9BB22" w14:textId="7CC96551" w:rsidR="00D740BA" w:rsidRPr="00D740BA" w:rsidRDefault="00D740BA" w:rsidP="00D740BA">
      <w:pPr>
        <w:pStyle w:val="1"/>
        <w:spacing w:line="240" w:lineRule="auto"/>
        <w:rPr>
          <w:kern w:val="0"/>
        </w:rPr>
      </w:pPr>
      <w:r w:rsidRPr="00D740BA">
        <w:rPr>
          <w:kern w:val="0"/>
        </w:rPr>
        <w:t>Неустойчивая динамика доходов населения и обнаруженные в данных текущей статистики Росстата отдельные маркеры сдержанного потребительского поведения населения согласуются с динамикой социальных настроений: обследования Росстата, ВЦИОМ и ФОМ показывают, что наметившееся в 2017 г</w:t>
      </w:r>
      <w:r w:rsidR="00F20123">
        <w:rPr>
          <w:kern w:val="0"/>
          <w:lang w:val="en-US"/>
        </w:rPr>
        <w:t>.</w:t>
      </w:r>
      <w:r w:rsidRPr="00D740BA">
        <w:rPr>
          <w:kern w:val="0"/>
        </w:rPr>
        <w:t xml:space="preserve"> – первой половине 2018 г</w:t>
      </w:r>
      <w:r w:rsidR="00F20123">
        <w:rPr>
          <w:kern w:val="0"/>
        </w:rPr>
        <w:t>.</w:t>
      </w:r>
      <w:r w:rsidRPr="00D740BA">
        <w:rPr>
          <w:kern w:val="0"/>
        </w:rPr>
        <w:t xml:space="preserve"> улучшение в самооценках материального положения населения в </w:t>
      </w:r>
      <w:r w:rsidR="00F20123">
        <w:rPr>
          <w:kern w:val="0"/>
        </w:rPr>
        <w:t>I</w:t>
      </w:r>
      <w:r w:rsidR="00F20123">
        <w:rPr>
          <w:kern w:val="0"/>
          <w:lang w:val="en-US"/>
        </w:rPr>
        <w:t>II</w:t>
      </w:r>
      <w:r w:rsidRPr="00D740BA">
        <w:rPr>
          <w:kern w:val="0"/>
        </w:rPr>
        <w:t xml:space="preserve"> кв</w:t>
      </w:r>
      <w:r w:rsidR="00F20123">
        <w:rPr>
          <w:kern w:val="0"/>
        </w:rPr>
        <w:t>.</w:t>
      </w:r>
      <w:r w:rsidRPr="00D740BA">
        <w:rPr>
          <w:kern w:val="0"/>
        </w:rPr>
        <w:t xml:space="preserve"> текущего года сменилось об</w:t>
      </w:r>
      <w:r w:rsidR="00AB0973">
        <w:rPr>
          <w:kern w:val="0"/>
        </w:rPr>
        <w:t xml:space="preserve">ратной тенденцией; ухудшились и </w:t>
      </w:r>
      <w:r w:rsidRPr="00D740BA">
        <w:rPr>
          <w:kern w:val="0"/>
        </w:rPr>
        <w:t>потребительские настроения населения, равно как и восприятие ситуации на рынке труда.</w:t>
      </w:r>
    </w:p>
    <w:p w14:paraId="25ED0B4D" w14:textId="647A424B" w:rsidR="00D740BA" w:rsidRPr="00D740BA" w:rsidRDefault="002439F5" w:rsidP="00D740BA">
      <w:pPr>
        <w:pStyle w:val="1"/>
        <w:spacing w:line="240" w:lineRule="auto"/>
        <w:rPr>
          <w:kern w:val="0"/>
        </w:rPr>
      </w:pPr>
      <w:r>
        <w:rPr>
          <w:kern w:val="0"/>
        </w:rPr>
        <w:t>Н</w:t>
      </w:r>
      <w:r w:rsidR="00D740BA" w:rsidRPr="00D740BA">
        <w:rPr>
          <w:kern w:val="0"/>
        </w:rPr>
        <w:t>аиболее существенное влияние снижение уровня жизни в 2014-2016 гг. оказало на риски бедности детей и семей с детьми — эти группы населения уже на протяжении длительного периода являются наиболее уязвимыми с точки зрения монетарной бедности, а в период экономического спада их относительное положение еще ухудшилось. Одновременно с этим экономический спад оказал негативное влияние и на положение пенсионеров и домохозяйств, в составе которых есть пенсионеры, — групп, которые с 2009 г. отличались минимальны</w:t>
      </w:r>
      <w:r>
        <w:rPr>
          <w:kern w:val="0"/>
        </w:rPr>
        <w:t>ми рисками монетарной бедности.</w:t>
      </w:r>
    </w:p>
    <w:p w14:paraId="0E38DFC6" w14:textId="1E1C5F21" w:rsidR="00D740BA" w:rsidRPr="00D740BA" w:rsidRDefault="005B6EE9" w:rsidP="00D740BA">
      <w:pPr>
        <w:pStyle w:val="1"/>
        <w:spacing w:line="240" w:lineRule="auto"/>
        <w:rPr>
          <w:kern w:val="0"/>
        </w:rPr>
      </w:pPr>
      <w:r>
        <w:rPr>
          <w:kern w:val="0"/>
        </w:rPr>
        <w:t>Дифференциация</w:t>
      </w:r>
      <w:r w:rsidR="00D740BA" w:rsidRPr="00D740BA">
        <w:rPr>
          <w:kern w:val="0"/>
        </w:rPr>
        <w:t xml:space="preserve"> потребительской инфляции в разрезе социально</w:t>
      </w:r>
      <w:r w:rsidR="00F20123">
        <w:rPr>
          <w:kern w:val="0"/>
        </w:rPr>
        <w:t>-демографических типов домо</w:t>
      </w:r>
      <w:r w:rsidR="00D740BA" w:rsidRPr="00D740BA">
        <w:rPr>
          <w:kern w:val="0"/>
        </w:rPr>
        <w:t>хозяйств также показывает б</w:t>
      </w:r>
      <w:r w:rsidR="00D740BA" w:rsidRPr="00AB0973">
        <w:rPr>
          <w:b/>
          <w:kern w:val="0"/>
        </w:rPr>
        <w:t>о</w:t>
      </w:r>
      <w:r w:rsidR="00D740BA" w:rsidRPr="00D740BA">
        <w:rPr>
          <w:kern w:val="0"/>
        </w:rPr>
        <w:t xml:space="preserve">льшую уязвимость домохозяйств с детьми в период спада </w:t>
      </w:r>
      <w:r w:rsidR="00F20123">
        <w:rPr>
          <w:kern w:val="0"/>
        </w:rPr>
        <w:t xml:space="preserve">доходов </w:t>
      </w:r>
      <w:r w:rsidR="00D740BA" w:rsidRPr="00D740BA">
        <w:rPr>
          <w:kern w:val="0"/>
        </w:rPr>
        <w:t xml:space="preserve">— прежде всего, это относится к </w:t>
      </w:r>
      <w:r>
        <w:rPr>
          <w:kern w:val="0"/>
        </w:rPr>
        <w:t xml:space="preserve">полным </w:t>
      </w:r>
      <w:r w:rsidR="00D740BA" w:rsidRPr="00D740BA">
        <w:rPr>
          <w:kern w:val="0"/>
        </w:rPr>
        <w:t xml:space="preserve">многодетным </w:t>
      </w:r>
      <w:r>
        <w:rPr>
          <w:kern w:val="0"/>
        </w:rPr>
        <w:t>семьям</w:t>
      </w:r>
      <w:r w:rsidR="00D740BA" w:rsidRPr="00D740BA">
        <w:rPr>
          <w:kern w:val="0"/>
        </w:rPr>
        <w:t xml:space="preserve"> и </w:t>
      </w:r>
      <w:r>
        <w:rPr>
          <w:kern w:val="0"/>
        </w:rPr>
        <w:t>неполным семьям с</w:t>
      </w:r>
      <w:r w:rsidR="00D740BA" w:rsidRPr="00D740BA">
        <w:rPr>
          <w:kern w:val="0"/>
        </w:rPr>
        <w:t xml:space="preserve"> двумя и более детьми. Динамика средних фактических цен покупок по отдельным товарам в период 2013-2017 гг. </w:t>
      </w:r>
      <w:r w:rsidR="00111ED9">
        <w:rPr>
          <w:kern w:val="0"/>
        </w:rPr>
        <w:t>показывает</w:t>
      </w:r>
      <w:r w:rsidR="00D740BA" w:rsidRPr="00D740BA">
        <w:rPr>
          <w:kern w:val="0"/>
        </w:rPr>
        <w:t>, что российские домохозяйства пытаются сохранять привычную структуру потребления до тех пор, пока располагают ресурсами на наращ</w:t>
      </w:r>
      <w:r w:rsidR="00111ED9">
        <w:rPr>
          <w:kern w:val="0"/>
        </w:rPr>
        <w:t>ивание потребительских расходов</w:t>
      </w:r>
      <w:r w:rsidR="00D740BA" w:rsidRPr="00D740BA">
        <w:rPr>
          <w:kern w:val="0"/>
        </w:rPr>
        <w:t xml:space="preserve"> в структуре собственных трат. В этот период мы наблюдаем повышенные темпы инфляции в домохозяйствах, покупающих продукты привычного качества по новой цене. По мере исчерпания внутренних ресурсов — при длительном росте цен —</w:t>
      </w:r>
      <w:r w:rsidR="00111ED9">
        <w:rPr>
          <w:kern w:val="0"/>
        </w:rPr>
        <w:t xml:space="preserve"> </w:t>
      </w:r>
      <w:r w:rsidR="00D740BA" w:rsidRPr="00D740BA">
        <w:rPr>
          <w:kern w:val="0"/>
        </w:rPr>
        <w:t>начинается процесс замещ</w:t>
      </w:r>
      <w:r w:rsidR="00AB0973">
        <w:rPr>
          <w:kern w:val="0"/>
        </w:rPr>
        <w:t>ения на более дешевые продукты</w:t>
      </w:r>
      <w:r w:rsidR="00D740BA" w:rsidRPr="00D740BA">
        <w:rPr>
          <w:kern w:val="0"/>
        </w:rPr>
        <w:t xml:space="preserve">, снижается качество потребления в целом и, в частности, — питания. </w:t>
      </w:r>
      <w:r w:rsidR="00A37054">
        <w:rPr>
          <w:kern w:val="0"/>
        </w:rPr>
        <w:t>П</w:t>
      </w:r>
      <w:r w:rsidR="00D740BA" w:rsidRPr="00D740BA">
        <w:rPr>
          <w:kern w:val="0"/>
        </w:rPr>
        <w:t xml:space="preserve">ереломным моментом в поведении россиян стал 2015 г. —  в этот период </w:t>
      </w:r>
      <w:r w:rsidR="00A37054">
        <w:rPr>
          <w:kern w:val="0"/>
        </w:rPr>
        <w:t>во</w:t>
      </w:r>
      <w:r w:rsidR="00D740BA" w:rsidRPr="00D740BA">
        <w:rPr>
          <w:kern w:val="0"/>
        </w:rPr>
        <w:t xml:space="preserve"> многих </w:t>
      </w:r>
      <w:r w:rsidR="00A37054">
        <w:rPr>
          <w:kern w:val="0"/>
        </w:rPr>
        <w:t>типах домохозяйств началась перестройка</w:t>
      </w:r>
      <w:r w:rsidR="00D740BA" w:rsidRPr="00D740BA">
        <w:rPr>
          <w:kern w:val="0"/>
        </w:rPr>
        <w:t xml:space="preserve"> модели потребления.</w:t>
      </w:r>
    </w:p>
    <w:p w14:paraId="4C57FC48" w14:textId="72260DE2" w:rsidR="00D740BA" w:rsidRPr="00D740BA" w:rsidRDefault="00D740BA" w:rsidP="00D740BA">
      <w:pPr>
        <w:pStyle w:val="1"/>
        <w:spacing w:line="240" w:lineRule="auto"/>
        <w:rPr>
          <w:kern w:val="0"/>
        </w:rPr>
      </w:pPr>
      <w:r w:rsidRPr="00D740BA">
        <w:rPr>
          <w:kern w:val="0"/>
        </w:rPr>
        <w:t>Углубленный анализ феномена российской бедности — на основе немонетарных подходов к ее измерению — позволил измерить ограничения домохозяйств в удовлетворении базовых потребностей и оценить риски социально</w:t>
      </w:r>
      <w:r w:rsidR="00F20123">
        <w:rPr>
          <w:kern w:val="0"/>
        </w:rPr>
        <w:t>й</w:t>
      </w:r>
      <w:r w:rsidRPr="00D740BA">
        <w:rPr>
          <w:kern w:val="0"/>
        </w:rPr>
        <w:t xml:space="preserve"> </w:t>
      </w:r>
      <w:proofErr w:type="spellStart"/>
      <w:r w:rsidRPr="00D740BA">
        <w:rPr>
          <w:kern w:val="0"/>
        </w:rPr>
        <w:t>эксклюзии</w:t>
      </w:r>
      <w:proofErr w:type="spellEnd"/>
      <w:r w:rsidRPr="00D740BA">
        <w:rPr>
          <w:kern w:val="0"/>
        </w:rPr>
        <w:t xml:space="preserve">, не связанные исключительно с дефицитом денежных доходов. </w:t>
      </w:r>
      <w:r w:rsidR="00F20123">
        <w:rPr>
          <w:kern w:val="0"/>
        </w:rPr>
        <w:t>Применение</w:t>
      </w:r>
      <w:r w:rsidRPr="00D740BA">
        <w:rPr>
          <w:kern w:val="0"/>
        </w:rPr>
        <w:t xml:space="preserve"> </w:t>
      </w:r>
      <w:proofErr w:type="spellStart"/>
      <w:r w:rsidRPr="00D740BA">
        <w:rPr>
          <w:kern w:val="0"/>
        </w:rPr>
        <w:t>депривационного</w:t>
      </w:r>
      <w:proofErr w:type="spellEnd"/>
      <w:r w:rsidRPr="00D740BA">
        <w:rPr>
          <w:kern w:val="0"/>
        </w:rPr>
        <w:t xml:space="preserve"> подхода </w:t>
      </w:r>
      <w:r w:rsidR="00F20123">
        <w:rPr>
          <w:kern w:val="0"/>
        </w:rPr>
        <w:t>показало</w:t>
      </w:r>
      <w:r w:rsidRPr="00D740BA">
        <w:rPr>
          <w:kern w:val="0"/>
        </w:rPr>
        <w:t xml:space="preserve">, что к наиболее уязвимыми категориями относятся многодетные семьи и домохозяйства </w:t>
      </w:r>
      <w:r w:rsidR="00F20123">
        <w:rPr>
          <w:kern w:val="0"/>
        </w:rPr>
        <w:t xml:space="preserve">одиноких </w:t>
      </w:r>
      <w:r w:rsidRPr="00D740BA">
        <w:rPr>
          <w:kern w:val="0"/>
        </w:rPr>
        <w:t xml:space="preserve">пенсионеров, а также семьи, проживающие в </w:t>
      </w:r>
      <w:r w:rsidR="00F20123">
        <w:rPr>
          <w:kern w:val="0"/>
        </w:rPr>
        <w:t>селе</w:t>
      </w:r>
      <w:r w:rsidRPr="00D740BA">
        <w:rPr>
          <w:kern w:val="0"/>
        </w:rPr>
        <w:t>. Согласно индексу многомерной бедности, наиболее уязвимыми являются большие домохозяйства, многодетные семьи, домохозяйства, в составе которых есть инвалиды и пенсионеры.</w:t>
      </w:r>
    </w:p>
    <w:p w14:paraId="66762428" w14:textId="24A4E049" w:rsidR="00D740BA" w:rsidRPr="00D740BA" w:rsidRDefault="00D740BA" w:rsidP="00D740BA">
      <w:pPr>
        <w:pStyle w:val="1"/>
        <w:spacing w:line="240" w:lineRule="auto"/>
        <w:rPr>
          <w:kern w:val="0"/>
        </w:rPr>
      </w:pPr>
      <w:proofErr w:type="spellStart"/>
      <w:r w:rsidRPr="00D740BA">
        <w:rPr>
          <w:kern w:val="0"/>
        </w:rPr>
        <w:t>Межстрановые</w:t>
      </w:r>
      <w:proofErr w:type="spellEnd"/>
      <w:r w:rsidRPr="00D740BA">
        <w:rPr>
          <w:kern w:val="0"/>
        </w:rPr>
        <w:t xml:space="preserve"> сопоставления, проведенные для оценки изменений в положении России на фоне других стран, показали, что российский уровень оплаты труда пока остается выше</w:t>
      </w:r>
      <w:r w:rsidR="00F20123">
        <w:rPr>
          <w:kern w:val="0"/>
        </w:rPr>
        <w:t>, чем в большинстве</w:t>
      </w:r>
      <w:r w:rsidRPr="00D740BA">
        <w:rPr>
          <w:kern w:val="0"/>
        </w:rPr>
        <w:t xml:space="preserve"> стран СНГ; на сопоставимый с российским уровнем оплаты труда среди этого блока стран выходит только Беларусь (с 2013 г.). </w:t>
      </w:r>
      <w:r w:rsidR="00265A7F">
        <w:rPr>
          <w:kern w:val="0"/>
        </w:rPr>
        <w:t>У</w:t>
      </w:r>
      <w:r w:rsidRPr="00D740BA">
        <w:rPr>
          <w:kern w:val="0"/>
        </w:rPr>
        <w:t>казанная сопоставимость наблюдается только при использовании обменных курсов по паритету покупа</w:t>
      </w:r>
      <w:r w:rsidR="00111ED9">
        <w:rPr>
          <w:kern w:val="0"/>
        </w:rPr>
        <w:t>те</w:t>
      </w:r>
      <w:r w:rsidRPr="00D740BA">
        <w:rPr>
          <w:kern w:val="0"/>
        </w:rPr>
        <w:t>льной способности валют с корректировкой на динамику национальных показателей инфляции. Иными словами, выравнивание происходит в плоскости ненаблюдаемых статистических показателей, а потому не вызывает реакции со стороны населения</w:t>
      </w:r>
      <w:r w:rsidR="00111ED9">
        <w:rPr>
          <w:kern w:val="0"/>
        </w:rPr>
        <w:t>, в част</w:t>
      </w:r>
      <w:r w:rsidRPr="00D740BA">
        <w:rPr>
          <w:kern w:val="0"/>
        </w:rPr>
        <w:t xml:space="preserve">ности, в сфере трудовых миграций. Среди стран Восточной Европы Россия уступает в показателях оплаты труда в терминах ППС Польше, Чехии, Хорватии и </w:t>
      </w:r>
      <w:r w:rsidRPr="00D740BA">
        <w:rPr>
          <w:kern w:val="0"/>
        </w:rPr>
        <w:lastRenderedPageBreak/>
        <w:t>Венгрии, однако пока находится на сопоставимом уровне с Румынией и обгоняет Болгарию. По сравнению с Бразилией и Китаем, входящими в группу стран БРИК, Россия характеризуется более высоким уровнем оплаты труда.</w:t>
      </w:r>
    </w:p>
    <w:p w14:paraId="243C2A95" w14:textId="4B9E360D" w:rsidR="00D740BA" w:rsidRPr="00D740BA" w:rsidRDefault="00D740BA" w:rsidP="00265A7F">
      <w:pPr>
        <w:pStyle w:val="1"/>
        <w:spacing w:line="240" w:lineRule="auto"/>
        <w:rPr>
          <w:kern w:val="0"/>
        </w:rPr>
      </w:pPr>
      <w:r w:rsidRPr="00D740BA">
        <w:rPr>
          <w:kern w:val="0"/>
        </w:rPr>
        <w:t>А</w:t>
      </w:r>
      <w:r w:rsidR="00A37054">
        <w:rPr>
          <w:kern w:val="0"/>
        </w:rPr>
        <w:t>нализ</w:t>
      </w:r>
      <w:r w:rsidRPr="00D740BA">
        <w:rPr>
          <w:kern w:val="0"/>
        </w:rPr>
        <w:t xml:space="preserve"> динамики ВВП на душу населения, в грубом приближении характеризующий уровень жизни, показывает, что Россия </w:t>
      </w:r>
      <w:r w:rsidR="008545D4">
        <w:rPr>
          <w:kern w:val="0"/>
        </w:rPr>
        <w:t>опережает страны СНГ, Бразилию и Китай</w:t>
      </w:r>
      <w:r w:rsidRPr="00D740BA">
        <w:rPr>
          <w:kern w:val="0"/>
        </w:rPr>
        <w:t xml:space="preserve">, а также сохраняет показатели, сопоставимые с отдельными европейскими странами — в частности, с Венгрией и Польшей. Оценки динамики ВВП с учетом паритета покупательной способности в расчете </w:t>
      </w:r>
      <w:r w:rsidR="008545D4">
        <w:rPr>
          <w:kern w:val="0"/>
        </w:rPr>
        <w:t>на одного занятого в экономике</w:t>
      </w:r>
      <w:r w:rsidRPr="00D740BA">
        <w:rPr>
          <w:kern w:val="0"/>
        </w:rPr>
        <w:t xml:space="preserve"> свидетельствуют о том, что и по этому индикатору Россия </w:t>
      </w:r>
      <w:r w:rsidR="008545D4">
        <w:rPr>
          <w:kern w:val="0"/>
        </w:rPr>
        <w:t>лидирует</w:t>
      </w:r>
      <w:r w:rsidRPr="00D740BA">
        <w:rPr>
          <w:kern w:val="0"/>
        </w:rPr>
        <w:t xml:space="preserve"> </w:t>
      </w:r>
      <w:r w:rsidR="00265A7F">
        <w:rPr>
          <w:kern w:val="0"/>
        </w:rPr>
        <w:t>с</w:t>
      </w:r>
      <w:r w:rsidRPr="00D740BA">
        <w:rPr>
          <w:kern w:val="0"/>
        </w:rPr>
        <w:t xml:space="preserve">реди стран СНГ, Бразилии и Китая, </w:t>
      </w:r>
      <w:r w:rsidR="008545D4">
        <w:rPr>
          <w:kern w:val="0"/>
        </w:rPr>
        <w:t>но</w:t>
      </w:r>
      <w:r w:rsidRPr="00D740BA">
        <w:rPr>
          <w:kern w:val="0"/>
        </w:rPr>
        <w:t xml:space="preserve"> отстает от большинства стран ЦВЕ, включенных в рассмотрение.</w:t>
      </w:r>
    </w:p>
    <w:p w14:paraId="61094FBE" w14:textId="3D78EBB8" w:rsidR="00D740BA" w:rsidRPr="00D740BA" w:rsidRDefault="00265A7F" w:rsidP="00D740BA">
      <w:pPr>
        <w:pStyle w:val="1"/>
        <w:spacing w:line="240" w:lineRule="auto"/>
        <w:rPr>
          <w:kern w:val="0"/>
        </w:rPr>
      </w:pPr>
      <w:r>
        <w:rPr>
          <w:kern w:val="0"/>
        </w:rPr>
        <w:t>Р</w:t>
      </w:r>
      <w:r w:rsidR="00D740BA" w:rsidRPr="00D740BA">
        <w:rPr>
          <w:kern w:val="0"/>
        </w:rPr>
        <w:t>еализация программ активной поддержки населения, направленной на вы</w:t>
      </w:r>
      <w:r w:rsidR="00671AD3">
        <w:rPr>
          <w:kern w:val="0"/>
        </w:rPr>
        <w:t xml:space="preserve">ход на </w:t>
      </w:r>
      <w:proofErr w:type="spellStart"/>
      <w:r w:rsidR="00671AD3">
        <w:rPr>
          <w:kern w:val="0"/>
        </w:rPr>
        <w:t>самообеспечение</w:t>
      </w:r>
      <w:proofErr w:type="spellEnd"/>
      <w:r w:rsidR="00671AD3">
        <w:rPr>
          <w:kern w:val="0"/>
        </w:rPr>
        <w:t>, пока</w:t>
      </w:r>
      <w:r w:rsidR="00D740BA" w:rsidRPr="00D740BA">
        <w:rPr>
          <w:kern w:val="0"/>
        </w:rPr>
        <w:t xml:space="preserve"> не получает масштабного распространения </w:t>
      </w:r>
      <w:r>
        <w:rPr>
          <w:kern w:val="0"/>
        </w:rPr>
        <w:t>в регионах России, а</w:t>
      </w:r>
      <w:r w:rsidR="00D740BA" w:rsidRPr="00D740BA">
        <w:rPr>
          <w:kern w:val="0"/>
        </w:rPr>
        <w:t xml:space="preserve"> в условиях негативной экономической динамики нередко сворачивается. Одна из причин такой ситуации — </w:t>
      </w:r>
      <w:proofErr w:type="spellStart"/>
      <w:r w:rsidR="00D740BA" w:rsidRPr="00D740BA">
        <w:rPr>
          <w:kern w:val="0"/>
        </w:rPr>
        <w:t>неотлаженность</w:t>
      </w:r>
      <w:proofErr w:type="spellEnd"/>
      <w:r w:rsidR="00D740BA" w:rsidRPr="00D740BA">
        <w:rPr>
          <w:kern w:val="0"/>
        </w:rPr>
        <w:t xml:space="preserve"> механизмов реализации программы социального контракта и, следовательно, потребность в повышенных расходов на </w:t>
      </w:r>
      <w:r w:rsidR="00671AD3">
        <w:rPr>
          <w:kern w:val="0"/>
        </w:rPr>
        <w:t xml:space="preserve">ее </w:t>
      </w:r>
      <w:r w:rsidR="00D740BA" w:rsidRPr="00D740BA">
        <w:rPr>
          <w:kern w:val="0"/>
        </w:rPr>
        <w:t>администрирование в регионах. Помимо бюджетных ограничений, развитие этого подхода ограничивается необходимостью перестройки деятельности органов социальной защиты, перехода от структуры кадров чисто «выплатной» организации к выделению отдельной службы сопровождения контрактов и работы с клиентами в ходе выполнения индивидуального плана. Это направление социальной политики требует значительной функциональной и структурной перестройки деятельности службы социальной защиты на региональном и муниципальном уровнях, усиления практики межведомственного взаимодействия (с</w:t>
      </w:r>
      <w:r w:rsidR="00671AD3">
        <w:rPr>
          <w:kern w:val="0"/>
        </w:rPr>
        <w:t>лужб занятости, здравоохранения, образования</w:t>
      </w:r>
      <w:r w:rsidR="00D740BA" w:rsidRPr="00D740BA">
        <w:rPr>
          <w:kern w:val="0"/>
        </w:rPr>
        <w:t>).</w:t>
      </w:r>
    </w:p>
    <w:p w14:paraId="7730AC91" w14:textId="6297182E" w:rsidR="00D740BA" w:rsidRPr="00D740BA" w:rsidRDefault="00F7098B" w:rsidP="00265A7F">
      <w:pPr>
        <w:pStyle w:val="1"/>
        <w:spacing w:line="240" w:lineRule="auto"/>
        <w:rPr>
          <w:kern w:val="0"/>
        </w:rPr>
      </w:pPr>
      <w:r>
        <w:rPr>
          <w:kern w:val="0"/>
        </w:rPr>
        <w:t>А</w:t>
      </w:r>
      <w:r w:rsidR="00D740BA" w:rsidRPr="00D740BA">
        <w:rPr>
          <w:kern w:val="0"/>
        </w:rPr>
        <w:t>нализ регионального кейса — Н</w:t>
      </w:r>
      <w:r>
        <w:rPr>
          <w:kern w:val="0"/>
        </w:rPr>
        <w:t>ижегородской области — позволил</w:t>
      </w:r>
      <w:r w:rsidR="00D740BA" w:rsidRPr="00D740BA">
        <w:rPr>
          <w:kern w:val="0"/>
        </w:rPr>
        <w:t xml:space="preserve"> отработать механизм анализа социально-экономической ситуации на уровне субъекта РФ и разработать набор общих рекомендаций по возможным направлениям развития системы социальной поддержки населения с учетом региональной специфики. Относительно благоприятная ситуация с уровнем абсолютной бедности в Нижегородской области в сочетании с высоким уровнем включенности </w:t>
      </w:r>
      <w:r w:rsidR="001344B7">
        <w:rPr>
          <w:kern w:val="0"/>
        </w:rPr>
        <w:t>населения региона в неформальную</w:t>
      </w:r>
      <w:r w:rsidR="00D740BA" w:rsidRPr="00D740BA">
        <w:rPr>
          <w:kern w:val="0"/>
        </w:rPr>
        <w:t xml:space="preserve"> </w:t>
      </w:r>
      <w:r w:rsidR="001344B7">
        <w:rPr>
          <w:kern w:val="0"/>
        </w:rPr>
        <w:t>занятость</w:t>
      </w:r>
      <w:r w:rsidR="00D740BA" w:rsidRPr="00D740BA">
        <w:rPr>
          <w:kern w:val="0"/>
        </w:rPr>
        <w:t xml:space="preserve"> усложняют задачу по двукратному снижению уровня бедности к 2024 г. Повышенные риски бедности многодетных и неполных семей, а также семей с детьми в возрасте до 3 лет (что согласуется с </w:t>
      </w:r>
      <w:proofErr w:type="spellStart"/>
      <w:r w:rsidR="00D740BA" w:rsidRPr="00D740BA">
        <w:rPr>
          <w:kern w:val="0"/>
        </w:rPr>
        <w:t>общестрановой</w:t>
      </w:r>
      <w:proofErr w:type="spellEnd"/>
      <w:r w:rsidR="00D740BA" w:rsidRPr="00D740BA">
        <w:rPr>
          <w:kern w:val="0"/>
        </w:rPr>
        <w:t xml:space="preserve"> картиной бедности) в совокупности со сложной действующей системой мер социальной поддержки определяют возможные компоненты стратегии по сокращению бедности в </w:t>
      </w:r>
      <w:r w:rsidR="001344B7">
        <w:rPr>
          <w:kern w:val="0"/>
        </w:rPr>
        <w:t>регионе</w:t>
      </w:r>
      <w:r w:rsidR="00D740BA" w:rsidRPr="00D740BA">
        <w:rPr>
          <w:kern w:val="0"/>
        </w:rPr>
        <w:t xml:space="preserve">. Среди них можно назвать следующие подходы: </w:t>
      </w:r>
      <w:r w:rsidR="00D740BA">
        <w:rPr>
          <w:kern w:val="0"/>
        </w:rPr>
        <w:t xml:space="preserve">(1) </w:t>
      </w:r>
      <w:r w:rsidR="00D740BA" w:rsidRPr="00D740BA">
        <w:rPr>
          <w:kern w:val="0"/>
        </w:rPr>
        <w:t>предоставление мер поддерживающего назначения на основе оценки</w:t>
      </w:r>
      <w:r w:rsidR="00D740BA" w:rsidRPr="00E9472B">
        <w:rPr>
          <w:rFonts w:eastAsia="MS Mincho"/>
        </w:rPr>
        <w:t xml:space="preserve"> нуждаемости с установлением пороговых значений доходов на уровне 1-1,5 ВПМ; </w:t>
      </w:r>
      <w:r w:rsidR="00D740BA">
        <w:rPr>
          <w:rFonts w:eastAsia="MS Mincho"/>
        </w:rPr>
        <w:t xml:space="preserve">(2) </w:t>
      </w:r>
      <w:r w:rsidR="00D740BA" w:rsidRPr="00D740BA">
        <w:rPr>
          <w:rFonts w:eastAsia="MS Mincho"/>
        </w:rPr>
        <w:t xml:space="preserve">введение градуированных шкал пороговых значений доходов для поддерживающих мер и дифференцированных размеров выплат в </w:t>
      </w:r>
      <w:r>
        <w:rPr>
          <w:rFonts w:eastAsia="MS Mincho"/>
        </w:rPr>
        <w:t>зависимости от дефицита доходов</w:t>
      </w:r>
      <w:r w:rsidR="00D740BA" w:rsidRPr="00D740BA">
        <w:rPr>
          <w:rFonts w:eastAsia="MS Mincho"/>
        </w:rPr>
        <w:t>;</w:t>
      </w:r>
      <w:r w:rsidR="00D740BA">
        <w:rPr>
          <w:rFonts w:eastAsia="MS Mincho"/>
        </w:rPr>
        <w:t xml:space="preserve"> (3) </w:t>
      </w:r>
      <w:r w:rsidR="00D740BA" w:rsidRPr="00D740BA">
        <w:rPr>
          <w:rFonts w:eastAsia="MS Mincho"/>
        </w:rPr>
        <w:t>включение в программы социальной помощи стимулов к занятости и повышению производительности труда (в том числе на основе технологии социального контракта);</w:t>
      </w:r>
      <w:r w:rsidR="00D740BA">
        <w:rPr>
          <w:rFonts w:eastAsia="MS Mincho"/>
        </w:rPr>
        <w:t xml:space="preserve"> (4) </w:t>
      </w:r>
      <w:r w:rsidR="00D740BA" w:rsidRPr="00D740BA">
        <w:rPr>
          <w:rFonts w:eastAsia="MS Mincho"/>
        </w:rPr>
        <w:t>унификация сроков, за которые учитываются и исчисляются среднедушевые денежные доходы семьи, при предоставлении разных мер поддержки на основе оценки нуждаемости (не более 6 месяцев);</w:t>
      </w:r>
      <w:r w:rsidR="00D740BA">
        <w:rPr>
          <w:rFonts w:eastAsia="MS Mincho"/>
        </w:rPr>
        <w:t xml:space="preserve"> (5) </w:t>
      </w:r>
      <w:r w:rsidR="00D740BA" w:rsidRPr="00D740BA">
        <w:rPr>
          <w:rFonts w:eastAsia="MS Mincho"/>
        </w:rPr>
        <w:t>разработка интегрированных схем пособий (для снижения административных издержек, увеличения поддержки наиболее уязвимых категорий граждан).</w:t>
      </w:r>
      <w:r w:rsidR="00265A7F">
        <w:rPr>
          <w:kern w:val="0"/>
        </w:rPr>
        <w:t xml:space="preserve"> </w:t>
      </w:r>
      <w:r w:rsidR="00D740BA" w:rsidRPr="00D740BA">
        <w:rPr>
          <w:kern w:val="0"/>
        </w:rPr>
        <w:t xml:space="preserve">Дополнительный запрос к системе социальной поддержки населения в Нижегородской области формируют, во-первых, относительно низкая эффективность программы социального контракта в регионе, а </w:t>
      </w:r>
      <w:r w:rsidR="00265A7F">
        <w:rPr>
          <w:kern w:val="0"/>
        </w:rPr>
        <w:t>во-вторых,</w:t>
      </w:r>
      <w:r w:rsidR="00D740BA" w:rsidRPr="00D740BA">
        <w:rPr>
          <w:kern w:val="0"/>
        </w:rPr>
        <w:t xml:space="preserve"> повышенная доля пожилого населения. Последнее определяет высокую потребность в социальном обслуживании.</w:t>
      </w:r>
    </w:p>
    <w:p w14:paraId="3F765B8F" w14:textId="289C38FC" w:rsidR="00710133" w:rsidRPr="00576728" w:rsidRDefault="00710133" w:rsidP="00FA698E">
      <w:pPr>
        <w:pStyle w:val="BodyTextIndent"/>
        <w:numPr>
          <w:ilvl w:val="0"/>
          <w:numId w:val="2"/>
        </w:numPr>
        <w:tabs>
          <w:tab w:val="left" w:pos="1134"/>
        </w:tabs>
        <w:ind w:left="0" w:firstLine="740"/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A698E">
        <w:rPr>
          <w:b/>
          <w:sz w:val="24"/>
          <w:szCs w:val="24"/>
        </w:rPr>
        <w:t xml:space="preserve">: </w:t>
      </w:r>
      <w:r w:rsidR="00FA698E" w:rsidRPr="00FA698E">
        <w:rPr>
          <w:sz w:val="24"/>
          <w:szCs w:val="24"/>
        </w:rPr>
        <w:t>Результаты исследования использованы в рамках экспертного сопровождении органов исполнительной власти, отдельные сюжеты также опубликованы в виде электронных мониторингов на сайте Института социальной политики НИУ ВШЭ.</w:t>
      </w:r>
    </w:p>
    <w:sectPr w:rsidR="00710133" w:rsidRPr="00576728" w:rsidSect="00AC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7096A" w14:textId="77777777" w:rsidR="00F7098B" w:rsidRDefault="00F7098B" w:rsidP="00F73371">
      <w:pPr>
        <w:spacing w:after="0" w:line="240" w:lineRule="auto"/>
      </w:pPr>
      <w:r>
        <w:separator/>
      </w:r>
    </w:p>
  </w:endnote>
  <w:endnote w:type="continuationSeparator" w:id="0">
    <w:p w14:paraId="25AC4A09" w14:textId="77777777" w:rsidR="00F7098B" w:rsidRDefault="00F7098B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34B2D" w14:textId="77777777" w:rsidR="00F7098B" w:rsidRDefault="00F7098B" w:rsidP="00F73371">
      <w:pPr>
        <w:spacing w:after="0" w:line="240" w:lineRule="auto"/>
      </w:pPr>
      <w:r>
        <w:separator/>
      </w:r>
    </w:p>
  </w:footnote>
  <w:footnote w:type="continuationSeparator" w:id="0">
    <w:p w14:paraId="653AB66C" w14:textId="77777777" w:rsidR="00F7098B" w:rsidRDefault="00F7098B" w:rsidP="00F7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3E09"/>
    <w:multiLevelType w:val="hybridMultilevel"/>
    <w:tmpl w:val="2676F926"/>
    <w:lvl w:ilvl="0" w:tplc="0A440FA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A440FA6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2" w:tplc="0A440FA6">
      <w:start w:val="1"/>
      <w:numFmt w:val="bullet"/>
      <w:lvlText w:val=""/>
      <w:lvlJc w:val="left"/>
      <w:pPr>
        <w:ind w:left="3229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FE327F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32897"/>
    <w:rsid w:val="00050241"/>
    <w:rsid w:val="0007475E"/>
    <w:rsid w:val="0009130C"/>
    <w:rsid w:val="000D4827"/>
    <w:rsid w:val="000E0E6F"/>
    <w:rsid w:val="000F194A"/>
    <w:rsid w:val="00111ED9"/>
    <w:rsid w:val="00117A99"/>
    <w:rsid w:val="001344B7"/>
    <w:rsid w:val="001419FD"/>
    <w:rsid w:val="001451C0"/>
    <w:rsid w:val="00151E22"/>
    <w:rsid w:val="00175F49"/>
    <w:rsid w:val="00195123"/>
    <w:rsid w:val="001A39CE"/>
    <w:rsid w:val="001B4A4C"/>
    <w:rsid w:val="001C50C1"/>
    <w:rsid w:val="001E1371"/>
    <w:rsid w:val="001E7C61"/>
    <w:rsid w:val="002312FE"/>
    <w:rsid w:val="002439F5"/>
    <w:rsid w:val="0024637B"/>
    <w:rsid w:val="002519B4"/>
    <w:rsid w:val="00265A7F"/>
    <w:rsid w:val="00274360"/>
    <w:rsid w:val="00297FF4"/>
    <w:rsid w:val="002A3EE0"/>
    <w:rsid w:val="002A61EB"/>
    <w:rsid w:val="002B7C90"/>
    <w:rsid w:val="002C2057"/>
    <w:rsid w:val="002C57CA"/>
    <w:rsid w:val="002E4D71"/>
    <w:rsid w:val="002F249A"/>
    <w:rsid w:val="003108DE"/>
    <w:rsid w:val="003263E3"/>
    <w:rsid w:val="0034593A"/>
    <w:rsid w:val="00391A85"/>
    <w:rsid w:val="003A3CDE"/>
    <w:rsid w:val="003C6100"/>
    <w:rsid w:val="003D01E2"/>
    <w:rsid w:val="003D458B"/>
    <w:rsid w:val="003F367A"/>
    <w:rsid w:val="00402FCC"/>
    <w:rsid w:val="00417264"/>
    <w:rsid w:val="00420D30"/>
    <w:rsid w:val="00473316"/>
    <w:rsid w:val="00473D96"/>
    <w:rsid w:val="00486757"/>
    <w:rsid w:val="0049064B"/>
    <w:rsid w:val="004A3D35"/>
    <w:rsid w:val="004C10E0"/>
    <w:rsid w:val="004E5805"/>
    <w:rsid w:val="0050761F"/>
    <w:rsid w:val="00523D5C"/>
    <w:rsid w:val="00525FE8"/>
    <w:rsid w:val="00546CBA"/>
    <w:rsid w:val="00576728"/>
    <w:rsid w:val="005A602D"/>
    <w:rsid w:val="005A64BB"/>
    <w:rsid w:val="005B1039"/>
    <w:rsid w:val="005B6EE9"/>
    <w:rsid w:val="005E03D3"/>
    <w:rsid w:val="00621F99"/>
    <w:rsid w:val="00671AD3"/>
    <w:rsid w:val="00674699"/>
    <w:rsid w:val="00682A1E"/>
    <w:rsid w:val="006C04E5"/>
    <w:rsid w:val="006C6DDB"/>
    <w:rsid w:val="006E45F8"/>
    <w:rsid w:val="00700BE0"/>
    <w:rsid w:val="00710133"/>
    <w:rsid w:val="00713E1A"/>
    <w:rsid w:val="0073293A"/>
    <w:rsid w:val="00740DCA"/>
    <w:rsid w:val="007610B2"/>
    <w:rsid w:val="007829E3"/>
    <w:rsid w:val="007865B4"/>
    <w:rsid w:val="007875E0"/>
    <w:rsid w:val="007A0BF0"/>
    <w:rsid w:val="007B15F2"/>
    <w:rsid w:val="007F671D"/>
    <w:rsid w:val="0080536C"/>
    <w:rsid w:val="008272AB"/>
    <w:rsid w:val="00834851"/>
    <w:rsid w:val="00853873"/>
    <w:rsid w:val="008545D4"/>
    <w:rsid w:val="008B0627"/>
    <w:rsid w:val="008E0A9C"/>
    <w:rsid w:val="008F67E4"/>
    <w:rsid w:val="008F70A7"/>
    <w:rsid w:val="009070CF"/>
    <w:rsid w:val="009251D4"/>
    <w:rsid w:val="00931E66"/>
    <w:rsid w:val="0094377E"/>
    <w:rsid w:val="00986CB3"/>
    <w:rsid w:val="009B2092"/>
    <w:rsid w:val="009C4C78"/>
    <w:rsid w:val="009D212D"/>
    <w:rsid w:val="00A07648"/>
    <w:rsid w:val="00A1206D"/>
    <w:rsid w:val="00A20295"/>
    <w:rsid w:val="00A37054"/>
    <w:rsid w:val="00A43548"/>
    <w:rsid w:val="00A43DCE"/>
    <w:rsid w:val="00A57EE7"/>
    <w:rsid w:val="00A615F9"/>
    <w:rsid w:val="00AB0973"/>
    <w:rsid w:val="00AC182B"/>
    <w:rsid w:val="00AD3C17"/>
    <w:rsid w:val="00AF3C31"/>
    <w:rsid w:val="00B429D9"/>
    <w:rsid w:val="00B55419"/>
    <w:rsid w:val="00BA7C65"/>
    <w:rsid w:val="00BB745B"/>
    <w:rsid w:val="00BC6C1C"/>
    <w:rsid w:val="00BD4C18"/>
    <w:rsid w:val="00C10707"/>
    <w:rsid w:val="00C11DAC"/>
    <w:rsid w:val="00C776F7"/>
    <w:rsid w:val="00C8241B"/>
    <w:rsid w:val="00CC3BC0"/>
    <w:rsid w:val="00CC6F60"/>
    <w:rsid w:val="00CF219D"/>
    <w:rsid w:val="00D030EC"/>
    <w:rsid w:val="00D14E44"/>
    <w:rsid w:val="00D24A67"/>
    <w:rsid w:val="00D55C5C"/>
    <w:rsid w:val="00D56BF9"/>
    <w:rsid w:val="00D740BA"/>
    <w:rsid w:val="00D91E1B"/>
    <w:rsid w:val="00D97EB0"/>
    <w:rsid w:val="00DA7374"/>
    <w:rsid w:val="00DE1428"/>
    <w:rsid w:val="00DE46C7"/>
    <w:rsid w:val="00E073BE"/>
    <w:rsid w:val="00E20BC3"/>
    <w:rsid w:val="00E212E7"/>
    <w:rsid w:val="00E4331A"/>
    <w:rsid w:val="00E50A5F"/>
    <w:rsid w:val="00E56FC3"/>
    <w:rsid w:val="00E72A7A"/>
    <w:rsid w:val="00E825AB"/>
    <w:rsid w:val="00E94989"/>
    <w:rsid w:val="00E970BE"/>
    <w:rsid w:val="00EA6597"/>
    <w:rsid w:val="00EB00DD"/>
    <w:rsid w:val="00EB5630"/>
    <w:rsid w:val="00EF49E9"/>
    <w:rsid w:val="00F067B9"/>
    <w:rsid w:val="00F20123"/>
    <w:rsid w:val="00F22BF1"/>
    <w:rsid w:val="00F403E6"/>
    <w:rsid w:val="00F6771B"/>
    <w:rsid w:val="00F7098B"/>
    <w:rsid w:val="00F73371"/>
    <w:rsid w:val="00F7386E"/>
    <w:rsid w:val="00F877ED"/>
    <w:rsid w:val="00FA698E"/>
    <w:rsid w:val="00FC537F"/>
    <w:rsid w:val="00FE2262"/>
    <w:rsid w:val="00F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DCB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97F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371"/>
  </w:style>
  <w:style w:type="paragraph" w:styleId="Footer">
    <w:name w:val="footer"/>
    <w:basedOn w:val="Normal"/>
    <w:link w:val="FooterChar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371"/>
  </w:style>
  <w:style w:type="paragraph" w:styleId="BodyTextIndent">
    <w:name w:val="Body Text Indent"/>
    <w:basedOn w:val="Normal"/>
    <w:link w:val="BodyTextIndentChar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0">
    <w:name w:val="Текстовый блок"/>
    <w:rsid w:val="00D740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1">
    <w:name w:val="1. Текст"/>
    <w:basedOn w:val="Normal"/>
    <w:qFormat/>
    <w:rsid w:val="00D740B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u w:color="00000A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97F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371"/>
  </w:style>
  <w:style w:type="paragraph" w:styleId="Footer">
    <w:name w:val="footer"/>
    <w:basedOn w:val="Normal"/>
    <w:link w:val="FooterChar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371"/>
  </w:style>
  <w:style w:type="paragraph" w:styleId="BodyTextIndent">
    <w:name w:val="Body Text Indent"/>
    <w:basedOn w:val="Normal"/>
    <w:link w:val="BodyTextIndentChar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0">
    <w:name w:val="Текстовый блок"/>
    <w:rsid w:val="00D740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1">
    <w:name w:val="1. Текст"/>
    <w:basedOn w:val="Normal"/>
    <w:qFormat/>
    <w:rsid w:val="00D740B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u w:color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1744</Words>
  <Characters>9943</Characters>
  <Application>Microsoft Macintosh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S B</cp:lastModifiedBy>
  <cp:revision>25</cp:revision>
  <cp:lastPrinted>2014-12-26T09:59:00Z</cp:lastPrinted>
  <dcterms:created xsi:type="dcterms:W3CDTF">2018-11-22T16:34:00Z</dcterms:created>
  <dcterms:modified xsi:type="dcterms:W3CDTF">2018-12-04T01:54:00Z</dcterms:modified>
</cp:coreProperties>
</file>