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60B" w:rsidRDefault="004A460B" w:rsidP="004A460B">
      <w:pPr>
        <w:spacing w:after="0" w:line="240" w:lineRule="auto"/>
        <w:jc w:val="center"/>
        <w:rPr>
          <w:rFonts w:ascii="Times New Roman" w:hAnsi="Times New Roman"/>
          <w:b/>
          <w:sz w:val="24"/>
        </w:rPr>
      </w:pPr>
      <w:bookmarkStart w:id="0" w:name="_GoBack"/>
      <w:bookmarkEnd w:id="0"/>
      <w:r>
        <w:rPr>
          <w:rFonts w:ascii="Times New Roman" w:hAnsi="Times New Roman"/>
          <w:b/>
          <w:sz w:val="24"/>
        </w:rPr>
        <w:t>Аннотация</w:t>
      </w:r>
    </w:p>
    <w:p w:rsidR="004A460B" w:rsidRDefault="004A460B" w:rsidP="004A460B">
      <w:pPr>
        <w:spacing w:after="0" w:line="240" w:lineRule="auto"/>
        <w:jc w:val="center"/>
        <w:rPr>
          <w:rFonts w:ascii="Times New Roman" w:hAnsi="Times New Roman"/>
          <w:b/>
          <w:sz w:val="24"/>
        </w:rPr>
      </w:pPr>
      <w:r>
        <w:rPr>
          <w:rFonts w:ascii="Times New Roman" w:hAnsi="Times New Roman"/>
          <w:b/>
          <w:sz w:val="24"/>
        </w:rPr>
        <w:t>ТЗ-</w:t>
      </w:r>
      <w:r w:rsidR="00F8403B">
        <w:rPr>
          <w:rFonts w:ascii="Times New Roman" w:hAnsi="Times New Roman"/>
          <w:b/>
          <w:sz w:val="24"/>
        </w:rPr>
        <w:t>20</w:t>
      </w:r>
    </w:p>
    <w:p w:rsidR="004A460B" w:rsidRDefault="004A460B" w:rsidP="004A460B">
      <w:pPr>
        <w:jc w:val="center"/>
        <w:rPr>
          <w:rFonts w:ascii="Times New Roman" w:hAnsi="Times New Roman"/>
          <w:b/>
          <w:sz w:val="24"/>
        </w:rPr>
      </w:pPr>
    </w:p>
    <w:p w:rsidR="004A460B" w:rsidRDefault="004D1326" w:rsidP="004D1326">
      <w:pPr>
        <w:spacing w:after="0" w:line="240" w:lineRule="auto"/>
        <w:ind w:firstLine="709"/>
        <w:jc w:val="both"/>
        <w:rPr>
          <w:rFonts w:ascii="Times New Roman" w:hAnsi="Times New Roman"/>
          <w:sz w:val="24"/>
        </w:rPr>
      </w:pPr>
      <w:r>
        <w:rPr>
          <w:rFonts w:ascii="Times New Roman" w:hAnsi="Times New Roman"/>
          <w:sz w:val="24"/>
        </w:rPr>
        <w:t xml:space="preserve">Тема: </w:t>
      </w:r>
      <w:r w:rsidRPr="00CD08B7">
        <w:rPr>
          <w:rFonts w:ascii="Times New Roman" w:hAnsi="Times New Roman"/>
          <w:b/>
          <w:sz w:val="24"/>
        </w:rPr>
        <w:t>«</w:t>
      </w:r>
      <w:r w:rsidR="00F8403B" w:rsidRPr="00F8403B">
        <w:rPr>
          <w:rFonts w:ascii="Times New Roman" w:hAnsi="Times New Roman"/>
          <w:b/>
          <w:sz w:val="24"/>
        </w:rPr>
        <w:t>Анализ адаптации различных социально-экономических и демографических групп населения к последствиям пандемии в контексте новых мер социальной политики</w:t>
      </w:r>
      <w:r w:rsidRPr="00CD08B7">
        <w:rPr>
          <w:rFonts w:ascii="Times New Roman" w:hAnsi="Times New Roman"/>
          <w:b/>
          <w:sz w:val="24"/>
        </w:rPr>
        <w:t>»</w:t>
      </w:r>
    </w:p>
    <w:p w:rsidR="004D1326" w:rsidRPr="001A4C34" w:rsidRDefault="004D1326" w:rsidP="004D1326">
      <w:pPr>
        <w:pStyle w:val="a3"/>
        <w:widowControl/>
        <w:tabs>
          <w:tab w:val="left" w:pos="360"/>
        </w:tabs>
        <w:ind w:firstLine="709"/>
        <w:rPr>
          <w:rFonts w:ascii="Times New Roman" w:hAnsi="Times New Roman"/>
          <w:sz w:val="24"/>
          <w:szCs w:val="24"/>
        </w:rPr>
      </w:pPr>
      <w:r w:rsidRPr="001A4C34">
        <w:rPr>
          <w:rFonts w:ascii="Times New Roman" w:hAnsi="Times New Roman"/>
          <w:sz w:val="24"/>
          <w:szCs w:val="24"/>
        </w:rPr>
        <w:t>Руководитель: О.В. Синявская</w:t>
      </w:r>
    </w:p>
    <w:p w:rsidR="004D1326" w:rsidRPr="001A4C34" w:rsidRDefault="004D1326" w:rsidP="004D1326">
      <w:pPr>
        <w:pStyle w:val="a3"/>
        <w:widowControl/>
        <w:tabs>
          <w:tab w:val="left" w:pos="360"/>
        </w:tabs>
        <w:ind w:firstLine="709"/>
        <w:rPr>
          <w:rFonts w:ascii="Times New Roman" w:hAnsi="Times New Roman"/>
          <w:sz w:val="24"/>
          <w:szCs w:val="24"/>
        </w:rPr>
      </w:pPr>
      <w:r w:rsidRPr="001A4C34">
        <w:rPr>
          <w:rFonts w:ascii="Times New Roman" w:hAnsi="Times New Roman"/>
          <w:sz w:val="24"/>
          <w:szCs w:val="24"/>
        </w:rPr>
        <w:t>Наименование подразделения: Институт социальной политики</w:t>
      </w:r>
    </w:p>
    <w:p w:rsidR="004D1326" w:rsidRDefault="004D1326" w:rsidP="00A27D6C">
      <w:pPr>
        <w:spacing w:after="0" w:line="240" w:lineRule="auto"/>
        <w:ind w:firstLine="709"/>
        <w:jc w:val="both"/>
        <w:rPr>
          <w:rFonts w:ascii="Times New Roman" w:hAnsi="Times New Roman"/>
          <w:sz w:val="24"/>
        </w:rPr>
      </w:pPr>
    </w:p>
    <w:p w:rsidR="00A27D6C" w:rsidRDefault="00A27D6C" w:rsidP="00A27D6C">
      <w:pPr>
        <w:spacing w:after="0" w:line="240" w:lineRule="auto"/>
        <w:ind w:firstLine="709"/>
        <w:jc w:val="both"/>
        <w:rPr>
          <w:rFonts w:ascii="Times New Roman" w:hAnsi="Times New Roman"/>
          <w:sz w:val="24"/>
        </w:rPr>
      </w:pPr>
      <w:r w:rsidRPr="00A27D6C">
        <w:rPr>
          <w:rFonts w:ascii="Times New Roman" w:hAnsi="Times New Roman"/>
          <w:b/>
          <w:sz w:val="24"/>
        </w:rPr>
        <w:t>Объектом</w:t>
      </w:r>
      <w:r w:rsidRPr="00A27D6C">
        <w:rPr>
          <w:rFonts w:ascii="Times New Roman" w:hAnsi="Times New Roman"/>
          <w:sz w:val="24"/>
        </w:rPr>
        <w:t xml:space="preserve"> данного исследования выступают </w:t>
      </w:r>
      <w:r w:rsidR="00F8403B" w:rsidRPr="00F8403B">
        <w:rPr>
          <w:rFonts w:ascii="Times New Roman" w:hAnsi="Times New Roman"/>
          <w:sz w:val="24"/>
        </w:rPr>
        <w:t>различны</w:t>
      </w:r>
      <w:r w:rsidR="00F8403B">
        <w:rPr>
          <w:rFonts w:ascii="Times New Roman" w:hAnsi="Times New Roman"/>
          <w:sz w:val="24"/>
        </w:rPr>
        <w:t>е</w:t>
      </w:r>
      <w:r w:rsidR="00F8403B" w:rsidRPr="00F8403B">
        <w:rPr>
          <w:rFonts w:ascii="Times New Roman" w:hAnsi="Times New Roman"/>
          <w:sz w:val="24"/>
        </w:rPr>
        <w:t xml:space="preserve"> социально-экономически</w:t>
      </w:r>
      <w:r w:rsidR="00F8403B">
        <w:rPr>
          <w:rFonts w:ascii="Times New Roman" w:hAnsi="Times New Roman"/>
          <w:sz w:val="24"/>
        </w:rPr>
        <w:t>е</w:t>
      </w:r>
      <w:r w:rsidR="00F8403B" w:rsidRPr="00F8403B">
        <w:rPr>
          <w:rFonts w:ascii="Times New Roman" w:hAnsi="Times New Roman"/>
          <w:sz w:val="24"/>
        </w:rPr>
        <w:t xml:space="preserve"> и демографически</w:t>
      </w:r>
      <w:r w:rsidR="00F8403B">
        <w:rPr>
          <w:rFonts w:ascii="Times New Roman" w:hAnsi="Times New Roman"/>
          <w:sz w:val="24"/>
        </w:rPr>
        <w:t>е</w:t>
      </w:r>
      <w:r w:rsidR="00F8403B" w:rsidRPr="00F8403B">
        <w:rPr>
          <w:rFonts w:ascii="Times New Roman" w:hAnsi="Times New Roman"/>
          <w:sz w:val="24"/>
        </w:rPr>
        <w:t xml:space="preserve"> групп</w:t>
      </w:r>
      <w:r w:rsidR="00F8403B">
        <w:rPr>
          <w:rFonts w:ascii="Times New Roman" w:hAnsi="Times New Roman"/>
          <w:sz w:val="24"/>
        </w:rPr>
        <w:t>ы</w:t>
      </w:r>
      <w:r w:rsidR="00F8403B" w:rsidRPr="00F8403B">
        <w:rPr>
          <w:rFonts w:ascii="Times New Roman" w:hAnsi="Times New Roman"/>
          <w:sz w:val="24"/>
        </w:rPr>
        <w:t xml:space="preserve"> населения </w:t>
      </w:r>
      <w:r w:rsidR="00F8403B">
        <w:rPr>
          <w:rFonts w:ascii="Times New Roman" w:hAnsi="Times New Roman"/>
          <w:sz w:val="24"/>
        </w:rPr>
        <w:t xml:space="preserve">и домохозяйства </w:t>
      </w:r>
      <w:r w:rsidRPr="00A27D6C">
        <w:rPr>
          <w:rFonts w:ascii="Times New Roman" w:hAnsi="Times New Roman"/>
          <w:sz w:val="24"/>
        </w:rPr>
        <w:t>в современной России</w:t>
      </w:r>
      <w:r w:rsidR="00F8403B">
        <w:rPr>
          <w:rFonts w:ascii="Times New Roman" w:hAnsi="Times New Roman"/>
          <w:sz w:val="24"/>
        </w:rPr>
        <w:t xml:space="preserve">, </w:t>
      </w:r>
      <w:r w:rsidR="00F8403B" w:rsidRPr="00F8403B">
        <w:rPr>
          <w:rFonts w:ascii="Times New Roman" w:hAnsi="Times New Roman"/>
          <w:b/>
          <w:sz w:val="24"/>
        </w:rPr>
        <w:t>предметом</w:t>
      </w:r>
      <w:r w:rsidR="00F8403B">
        <w:rPr>
          <w:rFonts w:ascii="Times New Roman" w:hAnsi="Times New Roman"/>
          <w:sz w:val="24"/>
        </w:rPr>
        <w:t xml:space="preserve"> – их адаптация к последствиям пандемии </w:t>
      </w:r>
      <w:r w:rsidR="00F8403B">
        <w:rPr>
          <w:rFonts w:ascii="Times New Roman" w:hAnsi="Times New Roman"/>
          <w:sz w:val="24"/>
          <w:lang w:val="en-US"/>
        </w:rPr>
        <w:t>COVID</w:t>
      </w:r>
      <w:r w:rsidR="00F8403B" w:rsidRPr="00F8403B">
        <w:rPr>
          <w:rFonts w:ascii="Times New Roman" w:hAnsi="Times New Roman"/>
          <w:sz w:val="24"/>
        </w:rPr>
        <w:t>-19</w:t>
      </w:r>
      <w:r w:rsidR="00F8403B">
        <w:rPr>
          <w:rFonts w:ascii="Times New Roman" w:hAnsi="Times New Roman"/>
          <w:sz w:val="24"/>
        </w:rPr>
        <w:t xml:space="preserve"> в контексте новых мер социальной политики</w:t>
      </w:r>
      <w:r w:rsidRPr="00A27D6C">
        <w:rPr>
          <w:rFonts w:ascii="Times New Roman" w:hAnsi="Times New Roman"/>
          <w:sz w:val="24"/>
        </w:rPr>
        <w:t>.</w:t>
      </w:r>
    </w:p>
    <w:p w:rsidR="00CD08B7" w:rsidRDefault="00CD08B7" w:rsidP="00A27D6C">
      <w:pPr>
        <w:spacing w:after="0" w:line="240" w:lineRule="auto"/>
        <w:ind w:firstLine="709"/>
        <w:jc w:val="both"/>
        <w:rPr>
          <w:rFonts w:ascii="Times New Roman" w:hAnsi="Times New Roman"/>
          <w:sz w:val="24"/>
        </w:rPr>
      </w:pPr>
      <w:r w:rsidRPr="00CD08B7">
        <w:rPr>
          <w:rFonts w:ascii="Times New Roman" w:hAnsi="Times New Roman"/>
          <w:b/>
          <w:sz w:val="24"/>
        </w:rPr>
        <w:t>Цель работы:</w:t>
      </w:r>
      <w:r>
        <w:rPr>
          <w:rFonts w:ascii="Times New Roman" w:hAnsi="Times New Roman"/>
          <w:sz w:val="24"/>
        </w:rPr>
        <w:t xml:space="preserve"> </w:t>
      </w:r>
      <w:r w:rsidR="00F8403B" w:rsidRPr="00F8403B">
        <w:rPr>
          <w:rFonts w:ascii="Times New Roman" w:hAnsi="Times New Roman"/>
          <w:sz w:val="24"/>
        </w:rPr>
        <w:t>проанализировать модели адаптации различных социально-экономических и демографических групп населения к последствиям пандемии в контексте новых мер социальной политики</w:t>
      </w:r>
      <w:r w:rsidRPr="00CD08B7">
        <w:rPr>
          <w:rFonts w:ascii="Times New Roman" w:hAnsi="Times New Roman"/>
          <w:sz w:val="24"/>
        </w:rPr>
        <w:t>.</w:t>
      </w:r>
    </w:p>
    <w:p w:rsidR="00CD08B7" w:rsidRPr="00CD08B7" w:rsidRDefault="00CD08B7" w:rsidP="00A27D6C">
      <w:pPr>
        <w:spacing w:after="0" w:line="240" w:lineRule="auto"/>
        <w:ind w:firstLine="709"/>
        <w:jc w:val="both"/>
        <w:rPr>
          <w:rFonts w:ascii="Times New Roman" w:hAnsi="Times New Roman"/>
          <w:b/>
          <w:sz w:val="24"/>
        </w:rPr>
      </w:pPr>
      <w:r w:rsidRPr="00CD08B7">
        <w:rPr>
          <w:rFonts w:ascii="Times New Roman" w:hAnsi="Times New Roman"/>
          <w:b/>
          <w:sz w:val="24"/>
        </w:rPr>
        <w:t xml:space="preserve">Используемые методы: </w:t>
      </w:r>
      <w:r w:rsidR="00F8403B" w:rsidRPr="00F8403B">
        <w:rPr>
          <w:rFonts w:ascii="Times New Roman" w:hAnsi="Times New Roman"/>
          <w:sz w:val="24"/>
        </w:rPr>
        <w:t>кабинетн</w:t>
      </w:r>
      <w:r w:rsidR="00F8403B">
        <w:rPr>
          <w:rFonts w:ascii="Times New Roman" w:hAnsi="Times New Roman"/>
          <w:sz w:val="24"/>
        </w:rPr>
        <w:t>ый</w:t>
      </w:r>
      <w:r w:rsidR="00F8403B" w:rsidRPr="00F8403B">
        <w:rPr>
          <w:rFonts w:ascii="Times New Roman" w:hAnsi="Times New Roman"/>
          <w:sz w:val="24"/>
        </w:rPr>
        <w:t xml:space="preserve"> анализ, теоретико-методологический, методы типологизаций и межстранового сравнительного анализа, методы описательной статистики, многомерные статистические и эконометрические методы (факторный, кластерный анализ, регрессионное моделирование), методология конструирования многокомпонентных индексов (composite indicators), методы микромоделирования</w:t>
      </w:r>
      <w:r w:rsidR="00F8403B">
        <w:rPr>
          <w:rFonts w:ascii="Times New Roman" w:hAnsi="Times New Roman"/>
          <w:sz w:val="24"/>
        </w:rPr>
        <w:t xml:space="preserve"> (на базе </w:t>
      </w:r>
      <w:r w:rsidR="00F8403B" w:rsidRPr="00F8403B">
        <w:rPr>
          <w:rFonts w:ascii="Times New Roman" w:hAnsi="Times New Roman"/>
          <w:sz w:val="24"/>
        </w:rPr>
        <w:t>модел</w:t>
      </w:r>
      <w:r w:rsidR="00F8403B">
        <w:rPr>
          <w:rFonts w:ascii="Times New Roman" w:hAnsi="Times New Roman"/>
          <w:sz w:val="24"/>
        </w:rPr>
        <w:t>ей</w:t>
      </w:r>
      <w:r w:rsidR="00F8403B" w:rsidRPr="00F8403B">
        <w:rPr>
          <w:rFonts w:ascii="Times New Roman" w:hAnsi="Times New Roman"/>
          <w:sz w:val="24"/>
        </w:rPr>
        <w:t xml:space="preserve"> SOUTHMOD</w:t>
      </w:r>
      <w:r w:rsidR="00F8403B">
        <w:rPr>
          <w:rFonts w:ascii="Times New Roman" w:hAnsi="Times New Roman"/>
          <w:sz w:val="24"/>
        </w:rPr>
        <w:t xml:space="preserve"> и </w:t>
      </w:r>
      <w:r w:rsidR="00F8403B" w:rsidRPr="00F8403B">
        <w:rPr>
          <w:rFonts w:ascii="Times New Roman" w:hAnsi="Times New Roman"/>
          <w:sz w:val="24"/>
        </w:rPr>
        <w:t>EUROMOD</w:t>
      </w:r>
      <w:r w:rsidR="00F8403B">
        <w:rPr>
          <w:rFonts w:ascii="Times New Roman" w:hAnsi="Times New Roman"/>
          <w:sz w:val="24"/>
        </w:rPr>
        <w:t>), методы анализа качественных социологических данных</w:t>
      </w:r>
      <w:r w:rsidR="00F8403B" w:rsidRPr="00F8403B">
        <w:rPr>
          <w:rFonts w:ascii="Times New Roman" w:hAnsi="Times New Roman"/>
          <w:sz w:val="24"/>
        </w:rPr>
        <w:t>. Статистический и эконометрический анализ проводился в статистических пакетах SPSS, Stata, R</w:t>
      </w:r>
      <w:r>
        <w:rPr>
          <w:rFonts w:ascii="Times New Roman" w:hAnsi="Times New Roman"/>
          <w:sz w:val="24"/>
        </w:rPr>
        <w:t>.</w:t>
      </w:r>
    </w:p>
    <w:p w:rsidR="00CD08B7" w:rsidRPr="00F33212" w:rsidRDefault="005843D3" w:rsidP="00A27D6C">
      <w:pPr>
        <w:spacing w:after="0" w:line="240" w:lineRule="auto"/>
        <w:ind w:firstLine="709"/>
        <w:jc w:val="both"/>
        <w:rPr>
          <w:rFonts w:ascii="Times New Roman" w:hAnsi="Times New Roman"/>
          <w:b/>
          <w:sz w:val="24"/>
        </w:rPr>
      </w:pPr>
      <w:r w:rsidRPr="005843D3">
        <w:rPr>
          <w:rFonts w:ascii="Times New Roman" w:hAnsi="Times New Roman"/>
          <w:b/>
          <w:sz w:val="24"/>
        </w:rPr>
        <w:t>Эмпирическая база исследования:</w:t>
      </w:r>
      <w:r w:rsidR="00CD08B7" w:rsidRPr="005843D3">
        <w:rPr>
          <w:rFonts w:ascii="Times New Roman" w:hAnsi="Times New Roman"/>
          <w:b/>
          <w:sz w:val="24"/>
        </w:rPr>
        <w:t xml:space="preserve"> </w:t>
      </w:r>
      <w:r w:rsidR="00F8403B" w:rsidRPr="00F8403B">
        <w:rPr>
          <w:rFonts w:ascii="Times New Roman" w:hAnsi="Times New Roman"/>
          <w:sz w:val="24"/>
        </w:rPr>
        <w:t xml:space="preserve">статистические </w:t>
      </w:r>
      <w:r w:rsidR="00F8403B">
        <w:rPr>
          <w:rFonts w:ascii="Times New Roman" w:hAnsi="Times New Roman"/>
          <w:sz w:val="24"/>
        </w:rPr>
        <w:t>показатели</w:t>
      </w:r>
      <w:r w:rsidR="00F8403B" w:rsidRPr="00F8403B">
        <w:rPr>
          <w:rFonts w:ascii="Times New Roman" w:hAnsi="Times New Roman"/>
          <w:sz w:val="24"/>
        </w:rPr>
        <w:t xml:space="preserve"> Федеральной службы государственной статистики, международной статистики, микроданные различных волн Российского мониторинга экономического положения и здоровья населения НИУ-ВШЭ (РМЭЗ-ВШЭ), Комплексного наблюдения условий жизни населения Росстата за 2020 г. (КОУЖ-2020), четырех волн обследования «Готовность к переменам»</w:t>
      </w:r>
      <w:r w:rsidR="00F8403B">
        <w:rPr>
          <w:rFonts w:ascii="Times New Roman" w:hAnsi="Times New Roman"/>
          <w:sz w:val="24"/>
        </w:rPr>
        <w:t xml:space="preserve"> (</w:t>
      </w:r>
      <w:r w:rsidR="00F8403B" w:rsidRPr="00F8403B">
        <w:rPr>
          <w:rFonts w:ascii="Times New Roman" w:hAnsi="Times New Roman"/>
          <w:sz w:val="24"/>
        </w:rPr>
        <w:t>2016, 2018, 2020 и 2021 гг.</w:t>
      </w:r>
      <w:r w:rsidR="00F8403B">
        <w:rPr>
          <w:rFonts w:ascii="Times New Roman" w:hAnsi="Times New Roman"/>
          <w:sz w:val="24"/>
        </w:rPr>
        <w:t>)</w:t>
      </w:r>
      <w:r w:rsidR="00F8403B" w:rsidRPr="00F8403B">
        <w:rPr>
          <w:rFonts w:ascii="Times New Roman" w:hAnsi="Times New Roman"/>
          <w:sz w:val="24"/>
        </w:rPr>
        <w:t>, 12й волны мониторингового Общероссийского репрезентативного обследования, проведенной Институтом социологии ФНИСЦ РАН в марте-апреле 2021 г., опроса представителей субъектов малого и среднего предпринимательства и индивидуальных предпринимателей, проведенного совместно с «Институтом социального маркетинга» в июне-июле 2020 года в Москве, международного Европейского социального исследования (ЕСИ) за 2008 и 2016 гг., результаты качественных исследований мигрантов, баз</w:t>
      </w:r>
      <w:r w:rsidR="00F8403B">
        <w:rPr>
          <w:rFonts w:ascii="Times New Roman" w:hAnsi="Times New Roman"/>
          <w:sz w:val="24"/>
        </w:rPr>
        <w:t>а</w:t>
      </w:r>
      <w:r w:rsidR="00F8403B" w:rsidRPr="00F8403B">
        <w:rPr>
          <w:rFonts w:ascii="Times New Roman" w:hAnsi="Times New Roman"/>
          <w:sz w:val="24"/>
        </w:rPr>
        <w:t xml:space="preserve"> данных богатейших бизнесменов в России</w:t>
      </w:r>
      <w:r w:rsidR="00F8403B">
        <w:rPr>
          <w:rFonts w:ascii="Times New Roman" w:hAnsi="Times New Roman"/>
          <w:sz w:val="24"/>
        </w:rPr>
        <w:t>.</w:t>
      </w:r>
    </w:p>
    <w:p w:rsidR="00F33212" w:rsidRDefault="00F33212" w:rsidP="00A27D6C">
      <w:pPr>
        <w:spacing w:after="0" w:line="240" w:lineRule="auto"/>
        <w:ind w:firstLine="709"/>
        <w:jc w:val="both"/>
        <w:rPr>
          <w:rFonts w:ascii="Times New Roman" w:hAnsi="Times New Roman"/>
          <w:b/>
          <w:sz w:val="24"/>
        </w:rPr>
      </w:pPr>
      <w:r>
        <w:rPr>
          <w:rFonts w:ascii="Times New Roman" w:hAnsi="Times New Roman"/>
          <w:b/>
          <w:sz w:val="24"/>
        </w:rPr>
        <w:t>Результаты работы:</w:t>
      </w:r>
    </w:p>
    <w:p w:rsidR="00134CEC" w:rsidRDefault="00134CEC" w:rsidP="00A27D6C">
      <w:pPr>
        <w:spacing w:after="0" w:line="240" w:lineRule="auto"/>
        <w:ind w:firstLine="709"/>
        <w:jc w:val="both"/>
        <w:rPr>
          <w:rFonts w:ascii="Times New Roman" w:hAnsi="Times New Roman"/>
          <w:sz w:val="24"/>
        </w:rPr>
      </w:pPr>
      <w:r w:rsidRPr="00134CEC">
        <w:rPr>
          <w:rFonts w:ascii="Times New Roman" w:hAnsi="Times New Roman"/>
          <w:sz w:val="24"/>
        </w:rPr>
        <w:t xml:space="preserve">В ходе экономического кризиса, вызванного пандемией коронавируса, государства еще активнее, чем в 2008 г. опирались на программы поддержки занятости и социальной поддержки как элементы контрциклической макроэкономической политики. Часть применяемых в пандемию мер была отработана еще в ходе кризиса 2008 г., к числу которых относится субсидирование занятости на закрывающихся предприятиях, субсидирование неполной занятости. Вместе с тем, в 2020 г. страны активнее, чем в 2008 г. использовали облегчение получения пособия по безработице и расширяли программы профессиональной подготовки и переобучения. Намного более широкое распространение получили меры прямой поддержки населения в рамках программ социальной помощи. Значительно чаще вводились меры по отсрочке коммунальных платежей и моратории на их приостановку. Продолжительность пандемии и неопределенность сроков нивелирования негативного воздействия вируса создает структурные проблемы для политики, отчетливее выраженные в </w:t>
      </w:r>
      <w:r w:rsidRPr="00134CEC">
        <w:rPr>
          <w:rFonts w:ascii="Times New Roman" w:hAnsi="Times New Roman"/>
          <w:sz w:val="24"/>
        </w:rPr>
        <w:lastRenderedPageBreak/>
        <w:t xml:space="preserve">развивающихся странах. Встает вопрос о корректировке мер, введенных в 2020 г. как чрезвычайные, с учетом меняющихся бюджетных ограничений. </w:t>
      </w:r>
    </w:p>
    <w:p w:rsidR="00134CEC" w:rsidRDefault="00134CEC" w:rsidP="00A27D6C">
      <w:pPr>
        <w:spacing w:after="0" w:line="240" w:lineRule="auto"/>
        <w:ind w:firstLine="709"/>
        <w:jc w:val="both"/>
        <w:rPr>
          <w:rFonts w:ascii="Times New Roman" w:hAnsi="Times New Roman"/>
          <w:sz w:val="24"/>
        </w:rPr>
      </w:pPr>
      <w:r w:rsidRPr="00134CEC">
        <w:rPr>
          <w:rFonts w:ascii="Times New Roman" w:hAnsi="Times New Roman"/>
          <w:sz w:val="24"/>
        </w:rPr>
        <w:t>Результаты изучения динамики запросов населения к социальной политике в России убедительно подтверждают гипотезу о расширении поддержки ответственности государства за формирование благосостояния в условиях кризиса. При этом несмотря на сокращение доходов в пандемию возросла готовность людей самих доплачивать налоги в пользу отдельных социальных выплат и услуг. В условиях кризиса и возросших экономических рисков российское население больше поддерживает модель социальной поддержки, предполагающую максимизацию выплат наиболее пострадавшим от кризиса группам. Приоритетными в глазах населения направлениями увеличения государственных расходов выступают здравоохранение, пенсионное обеспечение, социальные выплат уязвимым группам населения и расходы на школьное образование. Вопреки ожиданиям мы не увидели устойчивых признаков усиления социально-экономической конвергенции в запросах граждан. На уровне отдельных запросов граждане руководствуются, прежде всего, логикой следования собственным интересам, чем представлениями о социальной солидарности.</w:t>
      </w:r>
    </w:p>
    <w:p w:rsidR="00134CEC" w:rsidRDefault="00134CEC" w:rsidP="00A27D6C">
      <w:pPr>
        <w:spacing w:after="0" w:line="240" w:lineRule="auto"/>
        <w:ind w:firstLine="709"/>
        <w:jc w:val="both"/>
        <w:rPr>
          <w:rFonts w:ascii="Times New Roman" w:hAnsi="Times New Roman"/>
          <w:sz w:val="24"/>
        </w:rPr>
      </w:pPr>
      <w:r w:rsidRPr="00134CEC">
        <w:rPr>
          <w:rFonts w:ascii="Times New Roman" w:hAnsi="Times New Roman"/>
          <w:sz w:val="24"/>
        </w:rPr>
        <w:t xml:space="preserve">Исследование не зафиксировало в 2020 г. явного ухудшения здоровья российского населения, что можно объяснить более медленным, по сравнению с развитыми западными странами, распространением коронавируса в России, и одновременно более коротким и менее жестким периодом массовых ограничений (локдауном). При рассмотрении динамики возможных факторов изменения здоровья в пандемию было отмечено снижение доступности стационарной и скорой медицинской помощи и небольшое увеличение доли граждан, занимающихся спортом. В первый год пандемии общее самочувствие граждан зависело изменений, напрямую не связанных со здоровьем. Шансы на улучшение самочувствия появились у граждан с растущей удовлетворенностью работой, увеличился вклад общей удовлетворенности жизнью в изменение самооценки здоровья. В 2020 г. проявились положительные эффекты пандемии, связанные с сокращением трудовой нагрузки и стрессов, и увеличением количества свободного времени. Но снижение доступности стационарной помощи привело к тому, что шансы на улучшение состояния стали зависеть от возможности попасть на лечение в больницу и пройти хирургическую операцию. </w:t>
      </w:r>
    </w:p>
    <w:p w:rsidR="00F6413B" w:rsidRPr="00F6413B" w:rsidRDefault="00F6413B" w:rsidP="00F6413B">
      <w:pPr>
        <w:spacing w:after="0" w:line="240" w:lineRule="auto"/>
        <w:ind w:firstLine="709"/>
        <w:jc w:val="both"/>
        <w:rPr>
          <w:rFonts w:ascii="Times New Roman" w:hAnsi="Times New Roman"/>
          <w:sz w:val="24"/>
        </w:rPr>
      </w:pPr>
      <w:r w:rsidRPr="00F6413B">
        <w:rPr>
          <w:rFonts w:ascii="Times New Roman" w:hAnsi="Times New Roman"/>
          <w:sz w:val="24"/>
        </w:rPr>
        <w:t xml:space="preserve">В целом россияне воспринимают последствия коронакризиса как достаточно тяжелые и для страны, и для себя лично или своих близких, но ущерб, нанесенный пандемией стране, воспринимается ими более драматично, чем ущерб от неё для себя или членов своей семьи. На формирование ощущения очень серьезного ущерба, который кризис нанес лично им, у работающих россиян, в отличие от неработающих, влияли в первую очередь факторы, связанные с занятостью. Вызванный пандемией экономический кризис оказал заметное воздействие на уровень социальной защищенности различных групп работников и соблюдение их трудовых прав со стороны работодателей. </w:t>
      </w:r>
    </w:p>
    <w:p w:rsidR="00F6413B" w:rsidRPr="00F6413B" w:rsidRDefault="00F6413B" w:rsidP="00F6413B">
      <w:pPr>
        <w:spacing w:after="0" w:line="240" w:lineRule="auto"/>
        <w:ind w:firstLine="709"/>
        <w:jc w:val="both"/>
        <w:rPr>
          <w:rFonts w:ascii="Times New Roman" w:hAnsi="Times New Roman"/>
          <w:sz w:val="24"/>
        </w:rPr>
      </w:pPr>
      <w:r w:rsidRPr="00F6413B">
        <w:rPr>
          <w:rFonts w:ascii="Times New Roman" w:hAnsi="Times New Roman"/>
          <w:sz w:val="24"/>
        </w:rPr>
        <w:t xml:space="preserve">Сравнительный анализ последствий первой и второй волн пандемии для занятости свидетельствует о снижении остроты проблемы потери работы (хотя эта проблема все еще продолжает оставаться очень актуальной), а также сокращении распространенности срывов деловых планов и вынужденных неоплачиваемых отпусков. Одновременно обострились проблемы роста нагрузок на работе и увеличения интенсивности труда, а также задержек выплаты зарплаты. Для разных профессиональных групп негативные последствия пандемии для занятости не только проявлялись по-разному, но и в разной степени компенсировались динамикой их заработной платы. С точки зрения интегральной оценки их социальной защищенности и воздействия на нее пандемии профессионалы и руководители находятся в наиболее благоприятном положении, а рядовые работники торговли и рабочие – в наименее благоприятном. Полупрофессионалы и офисные клерки представляют собой промежуточную </w:t>
      </w:r>
      <w:r w:rsidRPr="00F6413B">
        <w:rPr>
          <w:rFonts w:ascii="Times New Roman" w:hAnsi="Times New Roman"/>
          <w:sz w:val="24"/>
        </w:rPr>
        <w:lastRenderedPageBreak/>
        <w:t xml:space="preserve">группу между двумя этими массовыми полюсами российского общества. Высококвалифицированные рабочие по размерам заработной платы и степени соблюдения их трудовых прав примыкают скорее к благополучным группам работающего населения, однако по последствиям для них пандемии и по ресурсу их социальных сетей они ближе к остальным рабочим. Адресная деятельность государства вполне успешно способствует смягчению некоторых проблем, связанных с социальной незащищенностью. В то же время многолетнее игнорирование других аспектов социальной защищенности работников государством привело к значительному ухудшению ситуации в соответствующих областях. </w:t>
      </w:r>
    </w:p>
    <w:p w:rsidR="00F6413B" w:rsidRPr="00F6413B" w:rsidRDefault="00F6413B" w:rsidP="00F6413B">
      <w:pPr>
        <w:spacing w:after="0" w:line="240" w:lineRule="auto"/>
        <w:ind w:firstLine="709"/>
        <w:jc w:val="both"/>
        <w:rPr>
          <w:rFonts w:ascii="Times New Roman" w:hAnsi="Times New Roman"/>
          <w:sz w:val="24"/>
        </w:rPr>
      </w:pPr>
      <w:r w:rsidRPr="00F6413B">
        <w:rPr>
          <w:rFonts w:ascii="Times New Roman" w:hAnsi="Times New Roman"/>
          <w:sz w:val="24"/>
        </w:rPr>
        <w:t>На основе рассчитанного индекса адаптационного потенциала установлено, что основной вклад в адаптационный потенциал вносит наличие имущества, транспорта и ЛПХ, а финансовые практики или институциональная поддержка доступны далеко не всем. В целом, средние значения индекса смещены в сторону нижней границы диапазона, что свидетельствует о том, что ресурсов, которые можно использовать для адаптации в изменяющихся условиях, не так много или они доступны не всем слоям населения. В то же время, сравнив два периода – 2019 г. и 2020 г., можно утверждать, что существенной растраты имеющихся ресурсов не произошло – общие показатели измеряемого индекса изменились незначительно.</w:t>
      </w:r>
    </w:p>
    <w:p w:rsidR="00202AFE" w:rsidRDefault="00F6413B" w:rsidP="00F6413B">
      <w:pPr>
        <w:spacing w:after="0" w:line="240" w:lineRule="auto"/>
        <w:ind w:firstLine="709"/>
        <w:jc w:val="both"/>
        <w:rPr>
          <w:rFonts w:ascii="Times New Roman" w:hAnsi="Times New Roman"/>
          <w:sz w:val="24"/>
        </w:rPr>
      </w:pPr>
      <w:r w:rsidRPr="00F6413B">
        <w:rPr>
          <w:rFonts w:ascii="Times New Roman" w:hAnsi="Times New Roman"/>
          <w:sz w:val="24"/>
        </w:rPr>
        <w:t>Общие показатели адаптационного потенциала выше в семьях, где есть дети, взрослые с высшим образованием, трудоспособные, пенсионеры. Индекс адаптации среднего класса выше, и основные преимущества формируются за счет имущества, транспорта и финансовых практик, что является показателем качества и стиля жизни этой страты. А если в семье есть трудоспособные взрослые без работы – это ожидаемо снижает адаптационный потенциал. Отчасти более высокий адаптационный потенциал связан с более высокими доходами домохозяйства. В то же время в 1-м квинтиле показатели выше, чем в 2-4-х за счет высоких показателей домена ЛПХ. В связи с этим можно предположить, что меры социальной поддержки, направленные на помощь через развитие личных подсобных хозяйств, особенно в сельской местности или аграрных регионах, могут оказаться успешными в отношении лиц с невысокими доходами. Более того, частный индекс институциональной поддержки свидетельствует о недостаточности мер социальной политики для самой бедной группы.</w:t>
      </w:r>
      <w:r>
        <w:rPr>
          <w:rStyle w:val="aa"/>
        </w:rPr>
        <w:t xml:space="preserve"> </w:t>
      </w:r>
    </w:p>
    <w:p w:rsidR="008744D7" w:rsidRDefault="004A533A" w:rsidP="00A27D6C">
      <w:pPr>
        <w:spacing w:after="0" w:line="240" w:lineRule="auto"/>
        <w:ind w:firstLine="709"/>
        <w:jc w:val="both"/>
        <w:rPr>
          <w:rFonts w:ascii="Times New Roman" w:hAnsi="Times New Roman"/>
          <w:b/>
          <w:sz w:val="24"/>
        </w:rPr>
      </w:pPr>
      <w:r w:rsidRPr="004A533A">
        <w:rPr>
          <w:rFonts w:ascii="Times New Roman" w:hAnsi="Times New Roman"/>
          <w:b/>
          <w:sz w:val="24"/>
        </w:rPr>
        <w:t>Степень внедрения, рекомендации по внедрению или итоги внедрения результатов НИР</w:t>
      </w:r>
      <w:r>
        <w:rPr>
          <w:rFonts w:ascii="Times New Roman" w:hAnsi="Times New Roman"/>
          <w:b/>
          <w:sz w:val="24"/>
        </w:rPr>
        <w:t>:</w:t>
      </w:r>
    </w:p>
    <w:p w:rsidR="000E50B2" w:rsidRDefault="00FD77F4" w:rsidP="00A27D6C">
      <w:pPr>
        <w:spacing w:after="0" w:line="240" w:lineRule="auto"/>
        <w:ind w:firstLine="709"/>
        <w:jc w:val="both"/>
        <w:rPr>
          <w:rFonts w:ascii="Times New Roman" w:hAnsi="Times New Roman"/>
          <w:sz w:val="24"/>
        </w:rPr>
      </w:pPr>
      <w:r w:rsidRPr="00FD77F4">
        <w:rPr>
          <w:rFonts w:ascii="Times New Roman" w:hAnsi="Times New Roman"/>
          <w:sz w:val="24"/>
        </w:rPr>
        <w:t xml:space="preserve">Результаты исследования были представлены на научных и научно-практических мероприятиях, в том числе международных – в России, Франции, Польше, Норвегии, Швеции, Финляндии, Бразилии. По результатам исследования было подготовлено 22 научные публикации, в том числе 13 – статей в журналах, индексируемых в WoS и Scopus. </w:t>
      </w:r>
      <w:r w:rsidR="000E50B2" w:rsidRPr="000E50B2">
        <w:rPr>
          <w:rFonts w:ascii="Times New Roman" w:hAnsi="Times New Roman"/>
          <w:sz w:val="24"/>
        </w:rPr>
        <w:t>Отдельные результаты исследования были использованы при подготовке в 202</w:t>
      </w:r>
      <w:r w:rsidR="00F8403B">
        <w:rPr>
          <w:rFonts w:ascii="Times New Roman" w:hAnsi="Times New Roman"/>
          <w:sz w:val="24"/>
        </w:rPr>
        <w:t>1</w:t>
      </w:r>
      <w:r w:rsidR="000E50B2" w:rsidRPr="000E50B2">
        <w:rPr>
          <w:rFonts w:ascii="Times New Roman" w:hAnsi="Times New Roman"/>
          <w:sz w:val="24"/>
        </w:rPr>
        <w:t xml:space="preserve"> г. аналитических записок и экспертных заключений, направлявшихся в Правительство России и федеральные органы исполнительной власти.</w:t>
      </w:r>
    </w:p>
    <w:p w:rsidR="00387224" w:rsidRPr="00F6367E" w:rsidRDefault="00A27D6C" w:rsidP="00F6367E">
      <w:pPr>
        <w:pStyle w:val="a8"/>
        <w:ind w:firstLine="709"/>
        <w:outlineLvl w:val="0"/>
        <w:rPr>
          <w:sz w:val="24"/>
          <w:szCs w:val="24"/>
        </w:rPr>
      </w:pPr>
      <w:r w:rsidRPr="001A4C34">
        <w:rPr>
          <w:b/>
          <w:sz w:val="24"/>
          <w:szCs w:val="24"/>
        </w:rPr>
        <w:t>Область применения</w:t>
      </w:r>
      <w:r>
        <w:rPr>
          <w:sz w:val="24"/>
          <w:szCs w:val="24"/>
        </w:rPr>
        <w:t>:</w:t>
      </w:r>
      <w:r w:rsidRPr="001A4C34">
        <w:rPr>
          <w:sz w:val="24"/>
          <w:szCs w:val="24"/>
        </w:rPr>
        <w:t xml:space="preserve"> </w:t>
      </w:r>
      <w:r w:rsidR="007E030F" w:rsidRPr="001A4C34">
        <w:rPr>
          <w:sz w:val="24"/>
          <w:szCs w:val="24"/>
        </w:rPr>
        <w:t>Результаты данной работы могут быть использованы для консультирования органов государственной власти и совершенствования действующего или разрабатываемого законодательства в области мер социальной, налоговой и экономической политики и оценки их эффективности, в частности – в работе Министерства труда и социальной защиты РФ, Министерства экономического развития РФ, Министерства финансов РФ, Министерства здравоохранения РФ, Счетной палаты и Росстата</w:t>
      </w:r>
      <w:r w:rsidR="00F6367E">
        <w:rPr>
          <w:sz w:val="24"/>
          <w:szCs w:val="24"/>
        </w:rPr>
        <w:t>.</w:t>
      </w:r>
    </w:p>
    <w:sectPr w:rsidR="00387224" w:rsidRPr="00F6367E">
      <w:footerReference w:type="default" r:id="rId11"/>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C91" w:rsidRDefault="00E95C91" w:rsidP="00A27D6C">
      <w:pPr>
        <w:spacing w:after="0" w:line="240" w:lineRule="auto"/>
      </w:pPr>
      <w:r>
        <w:separator/>
      </w:r>
    </w:p>
  </w:endnote>
  <w:endnote w:type="continuationSeparator" w:id="0">
    <w:p w:rsidR="00E95C91" w:rsidRDefault="00E95C91" w:rsidP="00A27D6C">
      <w:pPr>
        <w:spacing w:after="0" w:line="240" w:lineRule="auto"/>
      </w:pPr>
      <w:r>
        <w:continuationSeparator/>
      </w:r>
    </w:p>
  </w:endnote>
  <w:endnote w:type="continuationNotice" w:id="1">
    <w:p w:rsidR="00E95C91" w:rsidRDefault="00E95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D6C" w:rsidRPr="00A27D6C" w:rsidRDefault="00A27D6C" w:rsidP="00A27D6C">
    <w:pPr>
      <w:pStyle w:val="a6"/>
      <w:jc w:val="center"/>
      <w:rPr>
        <w:rFonts w:ascii="Times New Roman" w:hAnsi="Times New Roman"/>
        <w:sz w:val="24"/>
      </w:rPr>
    </w:pPr>
    <w:r w:rsidRPr="00A27D6C">
      <w:rPr>
        <w:rFonts w:ascii="Times New Roman" w:hAnsi="Times New Roman"/>
        <w:sz w:val="24"/>
      </w:rPr>
      <w:fldChar w:fldCharType="begin"/>
    </w:r>
    <w:r w:rsidRPr="00A27D6C">
      <w:rPr>
        <w:rFonts w:ascii="Times New Roman" w:hAnsi="Times New Roman"/>
        <w:sz w:val="24"/>
      </w:rPr>
      <w:instrText>PAGE   \* MERGEFORMAT</w:instrText>
    </w:r>
    <w:r w:rsidRPr="00A27D6C">
      <w:rPr>
        <w:rFonts w:ascii="Times New Roman" w:hAnsi="Times New Roman"/>
        <w:sz w:val="24"/>
      </w:rPr>
      <w:fldChar w:fldCharType="separate"/>
    </w:r>
    <w:r w:rsidR="00A57CFA">
      <w:rPr>
        <w:rFonts w:ascii="Times New Roman" w:hAnsi="Times New Roman"/>
        <w:noProof/>
        <w:sz w:val="24"/>
      </w:rPr>
      <w:t>1</w:t>
    </w:r>
    <w:r w:rsidRPr="00A27D6C">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C91" w:rsidRDefault="00E95C91" w:rsidP="00A27D6C">
      <w:pPr>
        <w:spacing w:after="0" w:line="240" w:lineRule="auto"/>
      </w:pPr>
      <w:r>
        <w:separator/>
      </w:r>
    </w:p>
  </w:footnote>
  <w:footnote w:type="continuationSeparator" w:id="0">
    <w:p w:rsidR="00E95C91" w:rsidRDefault="00E95C91" w:rsidP="00A27D6C">
      <w:pPr>
        <w:spacing w:after="0" w:line="240" w:lineRule="auto"/>
      </w:pPr>
      <w:r>
        <w:continuationSeparator/>
      </w:r>
    </w:p>
  </w:footnote>
  <w:footnote w:type="continuationNotice" w:id="1">
    <w:p w:rsidR="00E95C91" w:rsidRDefault="00E95C9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0429F"/>
    <w:multiLevelType w:val="hybridMultilevel"/>
    <w:tmpl w:val="067AC1DE"/>
    <w:lvl w:ilvl="0" w:tplc="A0BCB7B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nsid w:val="117442DB"/>
    <w:multiLevelType w:val="hybridMultilevel"/>
    <w:tmpl w:val="25685566"/>
    <w:lvl w:ilvl="0" w:tplc="66844A68">
      <w:start w:val="1"/>
      <w:numFmt w:val="decimal"/>
      <w:lvlText w:val="%1."/>
      <w:lvlJc w:val="left"/>
      <w:pPr>
        <w:ind w:left="1429"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7161DF"/>
    <w:multiLevelType w:val="hybridMultilevel"/>
    <w:tmpl w:val="F4A4FE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725058"/>
    <w:multiLevelType w:val="hybridMultilevel"/>
    <w:tmpl w:val="9BB2A2EE"/>
    <w:lvl w:ilvl="0" w:tplc="66844A68">
      <w:start w:val="1"/>
      <w:numFmt w:val="decimal"/>
      <w:lvlText w:val="%1."/>
      <w:lvlJc w:val="left"/>
      <w:pPr>
        <w:ind w:left="1495" w:hanging="360"/>
      </w:pPr>
      <w:rPr>
        <w:b/>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3MTI0MzMytzA1NTJQ0lEKTi0uzszPAykwrgUAt1qwXiwAAAA="/>
  </w:docVars>
  <w:rsids>
    <w:rsidRoot w:val="004D1326"/>
    <w:rsid w:val="00083E46"/>
    <w:rsid w:val="00096626"/>
    <w:rsid w:val="000B07E4"/>
    <w:rsid w:val="000E50B2"/>
    <w:rsid w:val="00130292"/>
    <w:rsid w:val="00131CAC"/>
    <w:rsid w:val="00134CEC"/>
    <w:rsid w:val="001753D1"/>
    <w:rsid w:val="001803EC"/>
    <w:rsid w:val="00184110"/>
    <w:rsid w:val="001E1C82"/>
    <w:rsid w:val="00202AFE"/>
    <w:rsid w:val="00215BF9"/>
    <w:rsid w:val="00233C39"/>
    <w:rsid w:val="002353C8"/>
    <w:rsid w:val="00240074"/>
    <w:rsid w:val="002472AA"/>
    <w:rsid w:val="00271671"/>
    <w:rsid w:val="003076C7"/>
    <w:rsid w:val="0033408E"/>
    <w:rsid w:val="003850B7"/>
    <w:rsid w:val="00387224"/>
    <w:rsid w:val="003C2D1A"/>
    <w:rsid w:val="004726E4"/>
    <w:rsid w:val="00486CFB"/>
    <w:rsid w:val="004A460B"/>
    <w:rsid w:val="004A533A"/>
    <w:rsid w:val="004D1326"/>
    <w:rsid w:val="005843D3"/>
    <w:rsid w:val="005F303A"/>
    <w:rsid w:val="006A560D"/>
    <w:rsid w:val="006F522E"/>
    <w:rsid w:val="0078561C"/>
    <w:rsid w:val="007B3CB4"/>
    <w:rsid w:val="007E030F"/>
    <w:rsid w:val="0080615F"/>
    <w:rsid w:val="008744D7"/>
    <w:rsid w:val="008E5D7D"/>
    <w:rsid w:val="00967DBD"/>
    <w:rsid w:val="00994B0B"/>
    <w:rsid w:val="009955F3"/>
    <w:rsid w:val="00A27D6C"/>
    <w:rsid w:val="00A55A21"/>
    <w:rsid w:val="00A57CFA"/>
    <w:rsid w:val="00A60CCA"/>
    <w:rsid w:val="00A766CE"/>
    <w:rsid w:val="00AF0CCD"/>
    <w:rsid w:val="00C47FFA"/>
    <w:rsid w:val="00C812C2"/>
    <w:rsid w:val="00CD08B7"/>
    <w:rsid w:val="00CE65B7"/>
    <w:rsid w:val="00D30D29"/>
    <w:rsid w:val="00D75C16"/>
    <w:rsid w:val="00DC4C85"/>
    <w:rsid w:val="00E27F59"/>
    <w:rsid w:val="00E95C91"/>
    <w:rsid w:val="00EC12B2"/>
    <w:rsid w:val="00F20AD8"/>
    <w:rsid w:val="00F33212"/>
    <w:rsid w:val="00F6367E"/>
    <w:rsid w:val="00F6413B"/>
    <w:rsid w:val="00F81419"/>
    <w:rsid w:val="00F8403B"/>
    <w:rsid w:val="00F86655"/>
    <w:rsid w:val="00F86A66"/>
    <w:rsid w:val="00F95B38"/>
    <w:rsid w:val="00FD7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EF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4D1326"/>
    <w:pPr>
      <w:widowControl w:val="0"/>
      <w:autoSpaceDE w:val="0"/>
      <w:autoSpaceDN w:val="0"/>
    </w:pPr>
    <w:rPr>
      <w:rFonts w:ascii="NTTimes/Cyrillic" w:eastAsia="Times New Roman" w:hAnsi="NTTimes/Cyrillic"/>
    </w:rPr>
  </w:style>
  <w:style w:type="paragraph" w:styleId="a4">
    <w:name w:val="header"/>
    <w:basedOn w:val="a"/>
    <w:link w:val="a5"/>
    <w:uiPriority w:val="99"/>
    <w:unhideWhenUsed/>
    <w:rsid w:val="00A27D6C"/>
    <w:pPr>
      <w:tabs>
        <w:tab w:val="center" w:pos="4677"/>
        <w:tab w:val="right" w:pos="9355"/>
      </w:tabs>
    </w:pPr>
  </w:style>
  <w:style w:type="character" w:customStyle="1" w:styleId="a5">
    <w:name w:val="Верхний колонтитул Знак"/>
    <w:link w:val="a4"/>
    <w:uiPriority w:val="99"/>
    <w:rsid w:val="00A27D6C"/>
    <w:rPr>
      <w:sz w:val="22"/>
      <w:szCs w:val="22"/>
      <w:lang w:eastAsia="en-US"/>
    </w:rPr>
  </w:style>
  <w:style w:type="paragraph" w:styleId="a6">
    <w:name w:val="footer"/>
    <w:basedOn w:val="a"/>
    <w:link w:val="a7"/>
    <w:uiPriority w:val="99"/>
    <w:unhideWhenUsed/>
    <w:rsid w:val="00A27D6C"/>
    <w:pPr>
      <w:tabs>
        <w:tab w:val="center" w:pos="4677"/>
        <w:tab w:val="right" w:pos="9355"/>
      </w:tabs>
    </w:pPr>
  </w:style>
  <w:style w:type="character" w:customStyle="1" w:styleId="a7">
    <w:name w:val="Нижний колонтитул Знак"/>
    <w:link w:val="a6"/>
    <w:uiPriority w:val="99"/>
    <w:rsid w:val="00A27D6C"/>
    <w:rPr>
      <w:sz w:val="22"/>
      <w:szCs w:val="22"/>
      <w:lang w:eastAsia="en-US"/>
    </w:rPr>
  </w:style>
  <w:style w:type="paragraph" w:styleId="a8">
    <w:name w:val="Body Text Indent"/>
    <w:basedOn w:val="a"/>
    <w:link w:val="a9"/>
    <w:unhideWhenUsed/>
    <w:rsid w:val="00A27D6C"/>
    <w:pPr>
      <w:widowControl w:val="0"/>
      <w:autoSpaceDE w:val="0"/>
      <w:autoSpaceDN w:val="0"/>
      <w:adjustRightInd w:val="0"/>
      <w:spacing w:after="0" w:line="240" w:lineRule="auto"/>
      <w:ind w:firstLine="380"/>
      <w:jc w:val="both"/>
    </w:pPr>
    <w:rPr>
      <w:rFonts w:ascii="Times New Roman" w:eastAsia="Times New Roman" w:hAnsi="Times New Roman"/>
      <w:sz w:val="20"/>
      <w:szCs w:val="20"/>
      <w:lang w:eastAsia="ru-RU"/>
    </w:rPr>
  </w:style>
  <w:style w:type="character" w:customStyle="1" w:styleId="a9">
    <w:name w:val="Основной текст с отступом Знак"/>
    <w:link w:val="a8"/>
    <w:rsid w:val="00A27D6C"/>
    <w:rPr>
      <w:rFonts w:ascii="Times New Roman" w:eastAsia="Times New Roman" w:hAnsi="Times New Roman"/>
    </w:rPr>
  </w:style>
  <w:style w:type="character" w:styleId="aa">
    <w:name w:val="annotation reference"/>
    <w:uiPriority w:val="99"/>
    <w:semiHidden/>
    <w:unhideWhenUsed/>
    <w:rsid w:val="00F8403B"/>
    <w:rPr>
      <w:sz w:val="16"/>
      <w:szCs w:val="16"/>
    </w:rPr>
  </w:style>
  <w:style w:type="paragraph" w:styleId="ab">
    <w:name w:val="annotation text"/>
    <w:basedOn w:val="a"/>
    <w:link w:val="ac"/>
    <w:uiPriority w:val="99"/>
    <w:semiHidden/>
    <w:unhideWhenUsed/>
    <w:rsid w:val="00F8403B"/>
    <w:rPr>
      <w:sz w:val="20"/>
      <w:szCs w:val="20"/>
    </w:rPr>
  </w:style>
  <w:style w:type="character" w:customStyle="1" w:styleId="ac">
    <w:name w:val="Текст примечания Знак"/>
    <w:link w:val="ab"/>
    <w:uiPriority w:val="99"/>
    <w:semiHidden/>
    <w:rsid w:val="00F8403B"/>
    <w:rPr>
      <w:lang w:eastAsia="en-US"/>
    </w:rPr>
  </w:style>
  <w:style w:type="paragraph" w:styleId="ad">
    <w:name w:val="annotation subject"/>
    <w:basedOn w:val="ab"/>
    <w:next w:val="ab"/>
    <w:link w:val="ae"/>
    <w:uiPriority w:val="99"/>
    <w:semiHidden/>
    <w:unhideWhenUsed/>
    <w:rsid w:val="00F8403B"/>
    <w:rPr>
      <w:b/>
      <w:bCs/>
    </w:rPr>
  </w:style>
  <w:style w:type="character" w:customStyle="1" w:styleId="ae">
    <w:name w:val="Тема примечания Знак"/>
    <w:link w:val="ad"/>
    <w:uiPriority w:val="99"/>
    <w:semiHidden/>
    <w:rsid w:val="00F8403B"/>
    <w:rPr>
      <w:b/>
      <w:bCs/>
      <w:lang w:eastAsia="en-US"/>
    </w:rPr>
  </w:style>
  <w:style w:type="paragraph" w:styleId="af">
    <w:name w:val="Balloon Text"/>
    <w:basedOn w:val="a"/>
    <w:link w:val="af0"/>
    <w:uiPriority w:val="99"/>
    <w:semiHidden/>
    <w:unhideWhenUsed/>
    <w:rsid w:val="00F8403B"/>
    <w:pPr>
      <w:spacing w:after="0" w:line="240" w:lineRule="auto"/>
    </w:pPr>
    <w:rPr>
      <w:rFonts w:ascii="Segoe UI" w:hAnsi="Segoe UI" w:cs="Segoe UI"/>
      <w:sz w:val="18"/>
      <w:szCs w:val="18"/>
    </w:rPr>
  </w:style>
  <w:style w:type="character" w:customStyle="1" w:styleId="af0">
    <w:name w:val="Текст выноски Знак"/>
    <w:link w:val="af"/>
    <w:uiPriority w:val="99"/>
    <w:semiHidden/>
    <w:rsid w:val="00F8403B"/>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EF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4D1326"/>
    <w:pPr>
      <w:widowControl w:val="0"/>
      <w:autoSpaceDE w:val="0"/>
      <w:autoSpaceDN w:val="0"/>
    </w:pPr>
    <w:rPr>
      <w:rFonts w:ascii="NTTimes/Cyrillic" w:eastAsia="Times New Roman" w:hAnsi="NTTimes/Cyrillic"/>
    </w:rPr>
  </w:style>
  <w:style w:type="paragraph" w:styleId="a4">
    <w:name w:val="header"/>
    <w:basedOn w:val="a"/>
    <w:link w:val="a5"/>
    <w:uiPriority w:val="99"/>
    <w:unhideWhenUsed/>
    <w:rsid w:val="00A27D6C"/>
    <w:pPr>
      <w:tabs>
        <w:tab w:val="center" w:pos="4677"/>
        <w:tab w:val="right" w:pos="9355"/>
      </w:tabs>
    </w:pPr>
  </w:style>
  <w:style w:type="character" w:customStyle="1" w:styleId="a5">
    <w:name w:val="Верхний колонтитул Знак"/>
    <w:link w:val="a4"/>
    <w:uiPriority w:val="99"/>
    <w:rsid w:val="00A27D6C"/>
    <w:rPr>
      <w:sz w:val="22"/>
      <w:szCs w:val="22"/>
      <w:lang w:eastAsia="en-US"/>
    </w:rPr>
  </w:style>
  <w:style w:type="paragraph" w:styleId="a6">
    <w:name w:val="footer"/>
    <w:basedOn w:val="a"/>
    <w:link w:val="a7"/>
    <w:uiPriority w:val="99"/>
    <w:unhideWhenUsed/>
    <w:rsid w:val="00A27D6C"/>
    <w:pPr>
      <w:tabs>
        <w:tab w:val="center" w:pos="4677"/>
        <w:tab w:val="right" w:pos="9355"/>
      </w:tabs>
    </w:pPr>
  </w:style>
  <w:style w:type="character" w:customStyle="1" w:styleId="a7">
    <w:name w:val="Нижний колонтитул Знак"/>
    <w:link w:val="a6"/>
    <w:uiPriority w:val="99"/>
    <w:rsid w:val="00A27D6C"/>
    <w:rPr>
      <w:sz w:val="22"/>
      <w:szCs w:val="22"/>
      <w:lang w:eastAsia="en-US"/>
    </w:rPr>
  </w:style>
  <w:style w:type="paragraph" w:styleId="a8">
    <w:name w:val="Body Text Indent"/>
    <w:basedOn w:val="a"/>
    <w:link w:val="a9"/>
    <w:unhideWhenUsed/>
    <w:rsid w:val="00A27D6C"/>
    <w:pPr>
      <w:widowControl w:val="0"/>
      <w:autoSpaceDE w:val="0"/>
      <w:autoSpaceDN w:val="0"/>
      <w:adjustRightInd w:val="0"/>
      <w:spacing w:after="0" w:line="240" w:lineRule="auto"/>
      <w:ind w:firstLine="380"/>
      <w:jc w:val="both"/>
    </w:pPr>
    <w:rPr>
      <w:rFonts w:ascii="Times New Roman" w:eastAsia="Times New Roman" w:hAnsi="Times New Roman"/>
      <w:sz w:val="20"/>
      <w:szCs w:val="20"/>
      <w:lang w:eastAsia="ru-RU"/>
    </w:rPr>
  </w:style>
  <w:style w:type="character" w:customStyle="1" w:styleId="a9">
    <w:name w:val="Основной текст с отступом Знак"/>
    <w:link w:val="a8"/>
    <w:rsid w:val="00A27D6C"/>
    <w:rPr>
      <w:rFonts w:ascii="Times New Roman" w:eastAsia="Times New Roman" w:hAnsi="Times New Roman"/>
    </w:rPr>
  </w:style>
  <w:style w:type="character" w:styleId="aa">
    <w:name w:val="annotation reference"/>
    <w:uiPriority w:val="99"/>
    <w:semiHidden/>
    <w:unhideWhenUsed/>
    <w:rsid w:val="00F8403B"/>
    <w:rPr>
      <w:sz w:val="16"/>
      <w:szCs w:val="16"/>
    </w:rPr>
  </w:style>
  <w:style w:type="paragraph" w:styleId="ab">
    <w:name w:val="annotation text"/>
    <w:basedOn w:val="a"/>
    <w:link w:val="ac"/>
    <w:uiPriority w:val="99"/>
    <w:semiHidden/>
    <w:unhideWhenUsed/>
    <w:rsid w:val="00F8403B"/>
    <w:rPr>
      <w:sz w:val="20"/>
      <w:szCs w:val="20"/>
    </w:rPr>
  </w:style>
  <w:style w:type="character" w:customStyle="1" w:styleId="ac">
    <w:name w:val="Текст примечания Знак"/>
    <w:link w:val="ab"/>
    <w:uiPriority w:val="99"/>
    <w:semiHidden/>
    <w:rsid w:val="00F8403B"/>
    <w:rPr>
      <w:lang w:eastAsia="en-US"/>
    </w:rPr>
  </w:style>
  <w:style w:type="paragraph" w:styleId="ad">
    <w:name w:val="annotation subject"/>
    <w:basedOn w:val="ab"/>
    <w:next w:val="ab"/>
    <w:link w:val="ae"/>
    <w:uiPriority w:val="99"/>
    <w:semiHidden/>
    <w:unhideWhenUsed/>
    <w:rsid w:val="00F8403B"/>
    <w:rPr>
      <w:b/>
      <w:bCs/>
    </w:rPr>
  </w:style>
  <w:style w:type="character" w:customStyle="1" w:styleId="ae">
    <w:name w:val="Тема примечания Знак"/>
    <w:link w:val="ad"/>
    <w:uiPriority w:val="99"/>
    <w:semiHidden/>
    <w:rsid w:val="00F8403B"/>
    <w:rPr>
      <w:b/>
      <w:bCs/>
      <w:lang w:eastAsia="en-US"/>
    </w:rPr>
  </w:style>
  <w:style w:type="paragraph" w:styleId="af">
    <w:name w:val="Balloon Text"/>
    <w:basedOn w:val="a"/>
    <w:link w:val="af0"/>
    <w:uiPriority w:val="99"/>
    <w:semiHidden/>
    <w:unhideWhenUsed/>
    <w:rsid w:val="00F8403B"/>
    <w:pPr>
      <w:spacing w:after="0" w:line="240" w:lineRule="auto"/>
    </w:pPr>
    <w:rPr>
      <w:rFonts w:ascii="Segoe UI" w:hAnsi="Segoe UI" w:cs="Segoe UI"/>
      <w:sz w:val="18"/>
      <w:szCs w:val="18"/>
    </w:rPr>
  </w:style>
  <w:style w:type="character" w:customStyle="1" w:styleId="af0">
    <w:name w:val="Текст выноски Знак"/>
    <w:link w:val="af"/>
    <w:uiPriority w:val="99"/>
    <w:semiHidden/>
    <w:rsid w:val="00F8403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D48534BB51FC440962E07CC678D8C96" ma:contentTypeVersion="4" ma:contentTypeDescription="Создание документа." ma:contentTypeScope="" ma:versionID="0991747901334f30cc76c3c836313b8a">
  <xsd:schema xmlns:xsd="http://www.w3.org/2001/XMLSchema" xmlns:xs="http://www.w3.org/2001/XMLSchema" xmlns:p="http://schemas.microsoft.com/office/2006/metadata/properties" xmlns:ns2="9aa8f59b-79f4-479e-aea3-270cdedd7bef" targetNamespace="http://schemas.microsoft.com/office/2006/metadata/properties" ma:root="true" ma:fieldsID="a6d9a8bc9fd685ed644068d8c4a28f61" ns2:_="">
    <xsd:import namespace="9aa8f59b-79f4-479e-aea3-270cdedd7b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8f59b-79f4-479e-aea3-270cdedd7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D7A14-BAB2-4DBF-8A55-C7B348B8F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8f59b-79f4-479e-aea3-270cdedd7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29A99-6C71-442E-80D2-AF311E563B19}">
  <ds:schemaRefs>
    <ds:schemaRef ds:uri="http://schemas.microsoft.com/sharepoint/v3/contenttype/forms"/>
  </ds:schemaRefs>
</ds:datastoreItem>
</file>

<file path=customXml/itemProps3.xml><?xml version="1.0" encoding="utf-8"?>
<ds:datastoreItem xmlns:ds="http://schemas.openxmlformats.org/officeDocument/2006/customXml" ds:itemID="{B76D4FFC-1313-43F2-A0B1-45B19BF4B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1558</Words>
  <Characters>8886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aaerm</dc:creator>
  <cp:lastModifiedBy>Комарова Екатерина Александровна</cp:lastModifiedBy>
  <cp:revision>2</cp:revision>
  <dcterms:created xsi:type="dcterms:W3CDTF">2022-10-08T03:24:00Z</dcterms:created>
  <dcterms:modified xsi:type="dcterms:W3CDTF">2022-10-08T03:24:00Z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sChannelId">
    <vt:lpwstr/>
  </property>
  <property fmtid="{D5CDD505-2E9C-101B-9397-08002B2CF9AE}" pid="3" name="FolderType">
    <vt:lpwstr/>
  </property>
  <property fmtid="{D5CDD505-2E9C-101B-9397-08002B2CF9AE}" pid="4" name="CultureName">
    <vt:lpwstr/>
  </property>
  <property fmtid="{D5CDD505-2E9C-101B-9397-08002B2CF9AE}" pid="5" name="AppVersion">
    <vt:lpwstr/>
  </property>
  <property fmtid="{D5CDD505-2E9C-101B-9397-08002B2CF9AE}" pid="6" name="NotebookType">
    <vt:lpwstr/>
  </property>
</Properties>
</file>