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Аннотация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ТЗ-225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Тема: «Траектории интеграции в российское общество первого и второго поколения трудовых мигрантов и рекомендации по повышению человеческого капитала мигрантов»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Руководители: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О.В. Синявская, канд. экон. наук, заместитель директора Института социальной политики,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М.Б. Денисенко, канд. экон. наук, директор Института демографии имени А.Г. Вишневского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подразделения: Институт социальной политики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Цель работы: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исследовать траектории интеграции в российское общество мигрантов первого и второго поколения и сформулировать рекомендации по повышению человеческого капитала мигрантов.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Используемые методы: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(а) методы кабинетного исследования отечественных и зарубежных научных и экспертных публикаций, российских и зарубежных эмпирических исследований по теме интеграции мигрантов в России и за рубежом; (б) методы демографического анализа, описательной статистики, многомерного статистического анализа; (в) качественные методы социально-антропологического анализа.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Эмпирическая база исследования: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(а) итоги всероссийской переписи населения 2010 г.; итоги микропереписи населения 2015 г.; (б) микроданные выборочных обследований населения: федерального статистического Обследования рабочей силы (ОРС) Росстата, федерального статистического наблюдения за использованием труда мигрантов Росстата (2014, 2019 гг.), обследования мигрантов НИУ ВШЭ 2017 г., Российского мониторинга экономического положения и здоровья населения НИУ ВШЭ (РМЭЗ-ВШЭ)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2008-2019 гг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.; (в) данные выборочного онлайн-обследования мигрантов второго поколения в возрасте от 16 до 30 лет; (г) результаты глубинных интервью с трудовыми мигрантами первого поколения и фокус-групп с мигрантами второго поколения.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0"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Результаты работы: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pos="1069"/>
        </w:tabs>
        <w:ind w:left="0" w:firstLine="70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Результаты обзора зарубежных публикаций и результатов эмпирических исследований показали, что 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ема второго поколения мигрантов прочно заняла одно из ведущих мест в исследовательской повестке стран иммиграции. Разработка этой темы началась в США в 1960-х гг., в странах Европы эта тема стала развиваться с 1990-х гг. по мере нарастания количества иммигрантов. Обострение проблем интеграции в 2000-х гг. привело к возникновению исследований, наиболее авторитетные из которых носят международный характер: обследование рабочей силы Евростата (EU-LFS), обследования ТEIS, CILS4EU и др. В программах ряда стран второе поколение мигрантов выделяется в национальных репрезентативных исследованиях, регистрах населения, переписях населения. В России, несмотря на заметный прирост мигрантов из Средней Азии и Закавказья в постсоветский период, подобные обследования практически не проводятся, что затрудняет изучение интеграционных процессов на национальном уровне.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pos="1069"/>
        </w:tabs>
        <w:ind w:lef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Результаты анализа данных ОРС и РМЭЗ-ВШЭ показали, что мигранты в среднем моложе и чаще представлены мужчинами, чем не мигранты; это особенно справедливо в отношении краткосрочных и впервые въезжающих мигрантов. Данные РМЭЗ-ВШЭ фиксируют постепенное увеличение возраста первого въезда в РФ. Среди мигрантов первого поколения, особенно иноэтничных, а также мигрантов полуторного поколения больше людей с низким уровнем образования; в более поздних волнах миграции усиливается неоднородность по уровню образования, сохраняется гендерный разрыв по уровню образования. Мигранты чаще трудятся на рабочих местах низкой квалификации, зачастую не по специальности, в режиме сверхзанятости. Среднедушевые доходы выше у немигрантов и репатриантов, что может свидетельствовать о лучшей интегрированности репатриантов по сравнению с другими категориями мигрантов.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pos="1069"/>
        </w:tabs>
        <w:ind w:left="0" w:firstLine="709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Интервью с мигрантами первого поколения показывают, что приезжающие на заработки мигранты нацелены изначально на работу в России на низкоквалифицированный специальностях; поиск работы в основном осуществляется через земляков. Основными нишами на рынке труда являются строительство, ЖКХ, торговля, клининг, работа на складах и на производстве, в последнее время – курьерская доставка, такси, что согласуется с результатами выборочных опросов. Как правило, при временном пребывании в России трудовые мигранты остаются в этих нишах и не ищут лучшей и более квалифицированной работы. В некоторых случаях длительное пребывание мигрантов в России может повысить их профессиональный статус. Основным барьером для иностранных работников является легализация на рынке труда.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pos="1069"/>
        </w:tabs>
        <w:ind w:lef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Согласно результатам фокус-групп, детей мигрантов, выросших в российском обществе, можно назвать хорошо интегрированными в российское общество. Успешную учебу как в школе, так и на других ступенях, и мигранты, и их дети видят в качестве социального лифта для продвижения в российском обществе; в большинстве случаев образовательная траектория мигрантов второго поколения после окончания 9 или 11 класса зависит от доходов семей и их социального капитала. Выбор профессии для представителей второго поколения, связанный, прежде всего, с возможностью в дальнейшем получить хорошо оплачиваемую стабильную работу в России (медицинские специальности и специальности, связанные с прикладными навыками), демонстрирует успешное встраивание мигрантов второго поколения на рынок труда. В вопросах частной жизни важную роль играют правила и ритуалы семей.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pos="1069"/>
        </w:tabs>
        <w:ind w:left="0" w:firstLine="709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Онлайн-опрос мигрантов второго поколения подтверждает результаты качественного исследования: дети мигрантов чаще, чем их родители, имеют высокий уровень образования, учатся в вузах, занимают хорошие профессиональные позиции на рынке труда. Свыше половины из них считают русский своим родным языком, 70% используют его в общении дома (исключительно или в сочетании с родным языком). Почти половина опрошенных мигрантов второго поколения имеет российское гражданство и треть планирует его получать. Тем не менее, в текущих условиях только треть мигрантов второго поколения планируют остаться в РФ навсегда.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pos="1069"/>
        </w:tabs>
        <w:ind w:lef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Для научного обеспечения интеграционной политики и миграционной политики в целом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необходимо расширить имеющиеся и открыть новые источники информации, основанные на массовых выборочных обследованиях, позволяющие изучать миграционные процессы.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Степень внедрения результатов НИР: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Проект научно-методического обеспечения выполнен в интересах Правительства РФ и Администрации Президента РФ. Результаты и рекомендации, сформулированные по итогам реализации проекта,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мер миграционной политики.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D739E"/>
    <w:pPr>
      <w:spacing w:after="0" w:line="240" w:lineRule="auto"/>
    </w:pPr>
    <w:rPr>
      <w:sz w:val="24"/>
      <w:szCs w:val="24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???????"/>
    <w:rsid w:val="002D739E"/>
    <w:pPr>
      <w:widowControl w:val="0"/>
      <w:autoSpaceDE w:val="0"/>
      <w:autoSpaceDN w:val="0"/>
      <w:spacing w:after="0" w:line="240" w:lineRule="auto"/>
    </w:pPr>
    <w:rPr>
      <w:rFonts w:ascii="NTTimes/Cyrillic" w:cs="Times New Roman" w:eastAsia="Times New Roman" w:hAnsi="NTTimes/Cyrillic"/>
      <w:sz w:val="20"/>
      <w:szCs w:val="20"/>
      <w:lang w:eastAsia="ru-RU"/>
    </w:rPr>
  </w:style>
  <w:style w:type="paragraph" w:styleId="a4">
    <w:name w:val="List Paragraph"/>
    <w:basedOn w:val="a"/>
    <w:uiPriority w:val="34"/>
    <w:qFormat w:val="1"/>
    <w:rsid w:val="00956BE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2f0ry4XVCh2avs4Df8fDj2czw==">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2022-11-30T14:12:00Z</dcterms:created>
  <dc:creator>Горват Елизавета Сергеевна</dc:creator>
</cp:coreProperties>
</file>