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14EB0" w14:textId="77777777" w:rsidR="004A460B" w:rsidRDefault="004A460B" w:rsidP="004A46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</w:t>
      </w:r>
    </w:p>
    <w:p w14:paraId="0804AD3A" w14:textId="77777777" w:rsidR="004A460B" w:rsidRDefault="004A460B" w:rsidP="004A46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ТЗ-</w:t>
      </w:r>
      <w:r w:rsidR="00227BFF">
        <w:rPr>
          <w:rFonts w:ascii="Times New Roman" w:hAnsi="Times New Roman"/>
          <w:b/>
          <w:sz w:val="24"/>
        </w:rPr>
        <w:t>24</w:t>
      </w:r>
    </w:p>
    <w:p w14:paraId="36764424" w14:textId="77777777" w:rsidR="004A460B" w:rsidRDefault="004A460B" w:rsidP="004A460B">
      <w:pPr>
        <w:jc w:val="center"/>
        <w:rPr>
          <w:rFonts w:ascii="Times New Roman" w:hAnsi="Times New Roman"/>
          <w:b/>
          <w:sz w:val="24"/>
        </w:rPr>
      </w:pPr>
    </w:p>
    <w:p w14:paraId="7220EA26" w14:textId="77777777" w:rsidR="004A460B" w:rsidRDefault="004D1326" w:rsidP="004D13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Тема: </w:t>
      </w:r>
      <w:r w:rsidRPr="00CD08B7">
        <w:rPr>
          <w:rFonts w:ascii="Times New Roman" w:hAnsi="Times New Roman"/>
          <w:b/>
          <w:sz w:val="24"/>
        </w:rPr>
        <w:t>«</w:t>
      </w:r>
      <w:r w:rsidR="00227BFF" w:rsidRPr="00227BFF">
        <w:rPr>
          <w:rFonts w:ascii="Times New Roman" w:hAnsi="Times New Roman"/>
          <w:b/>
          <w:sz w:val="24"/>
        </w:rPr>
        <w:t>Проявления и детерминанты благополучия и неблагополучия различных групп населения в современной России</w:t>
      </w:r>
      <w:r w:rsidRPr="00CD08B7">
        <w:rPr>
          <w:rFonts w:ascii="Times New Roman" w:hAnsi="Times New Roman"/>
          <w:b/>
          <w:sz w:val="24"/>
        </w:rPr>
        <w:t>»</w:t>
      </w:r>
    </w:p>
    <w:p w14:paraId="73C3A22C" w14:textId="77777777" w:rsidR="004D1326" w:rsidRPr="001A4C34" w:rsidRDefault="004D1326" w:rsidP="004D1326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A4C34">
        <w:rPr>
          <w:rFonts w:ascii="Times New Roman" w:hAnsi="Times New Roman"/>
          <w:sz w:val="24"/>
          <w:szCs w:val="24"/>
        </w:rPr>
        <w:t>Руководитель: О.В. Синявская</w:t>
      </w:r>
    </w:p>
    <w:p w14:paraId="33316141" w14:textId="77777777" w:rsidR="004D1326" w:rsidRPr="001A4C34" w:rsidRDefault="004D1326" w:rsidP="004D1326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A4C34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14:paraId="086CCA6A" w14:textId="77777777" w:rsidR="004D1326" w:rsidRDefault="004D1326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09E0924" w14:textId="77777777" w:rsidR="00A27D6C" w:rsidRPr="00CE04DE" w:rsidRDefault="00A27D6C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04DE">
        <w:rPr>
          <w:rFonts w:ascii="Times New Roman" w:hAnsi="Times New Roman"/>
          <w:b/>
          <w:sz w:val="24"/>
        </w:rPr>
        <w:t>Объектом</w:t>
      </w:r>
      <w:r w:rsidRPr="00CE04DE">
        <w:rPr>
          <w:rFonts w:ascii="Times New Roman" w:hAnsi="Times New Roman"/>
          <w:sz w:val="24"/>
        </w:rPr>
        <w:t xml:space="preserve"> данного исследования выступают </w:t>
      </w:r>
      <w:r w:rsidR="00227BFF" w:rsidRPr="00CE04DE">
        <w:rPr>
          <w:rFonts w:ascii="Times New Roman" w:hAnsi="Times New Roman"/>
          <w:sz w:val="24"/>
        </w:rPr>
        <w:t>различные социально-экономические и демографические группы населения и домохозяйства в современной России</w:t>
      </w:r>
      <w:r w:rsidR="00F8403B" w:rsidRPr="00CE04DE">
        <w:rPr>
          <w:rFonts w:ascii="Times New Roman" w:hAnsi="Times New Roman"/>
          <w:sz w:val="24"/>
        </w:rPr>
        <w:t xml:space="preserve">, </w:t>
      </w:r>
      <w:r w:rsidR="00F8403B" w:rsidRPr="00CE04DE">
        <w:rPr>
          <w:rFonts w:ascii="Times New Roman" w:hAnsi="Times New Roman"/>
          <w:b/>
          <w:sz w:val="24"/>
        </w:rPr>
        <w:t>предметом</w:t>
      </w:r>
      <w:r w:rsidR="00F8403B" w:rsidRPr="00CE04DE">
        <w:rPr>
          <w:rFonts w:ascii="Times New Roman" w:hAnsi="Times New Roman"/>
          <w:sz w:val="24"/>
        </w:rPr>
        <w:t xml:space="preserve"> – </w:t>
      </w:r>
      <w:r w:rsidR="00CE04DE">
        <w:rPr>
          <w:rFonts w:ascii="Times New Roman" w:hAnsi="Times New Roman"/>
          <w:sz w:val="24"/>
        </w:rPr>
        <w:t xml:space="preserve">истоки благополучия и неблагополучия этих групп, связанные со структурой российского общества и сформировавшимися в нем потоками социальной мобильности, положением на рынке труда, потребительскими возможностями, </w:t>
      </w:r>
      <w:proofErr w:type="spellStart"/>
      <w:r w:rsidR="00CE04DE">
        <w:rPr>
          <w:rFonts w:ascii="Times New Roman" w:hAnsi="Times New Roman"/>
          <w:sz w:val="24"/>
        </w:rPr>
        <w:t>межпоколенными</w:t>
      </w:r>
      <w:proofErr w:type="spellEnd"/>
      <w:r w:rsidR="00CE04DE">
        <w:rPr>
          <w:rFonts w:ascii="Times New Roman" w:hAnsi="Times New Roman"/>
          <w:sz w:val="24"/>
        </w:rPr>
        <w:t xml:space="preserve"> контактами, </w:t>
      </w:r>
      <w:proofErr w:type="spellStart"/>
      <w:r w:rsidR="00CE04DE">
        <w:rPr>
          <w:rFonts w:ascii="Times New Roman" w:hAnsi="Times New Roman"/>
          <w:sz w:val="24"/>
        </w:rPr>
        <w:t>цифровизацией</w:t>
      </w:r>
      <w:proofErr w:type="spellEnd"/>
      <w:r w:rsidR="00CE04DE">
        <w:rPr>
          <w:rFonts w:ascii="Times New Roman" w:hAnsi="Times New Roman"/>
          <w:sz w:val="24"/>
        </w:rPr>
        <w:t xml:space="preserve"> общества и пандемией</w:t>
      </w:r>
      <w:r w:rsidRPr="00CE04DE">
        <w:rPr>
          <w:rFonts w:ascii="Times New Roman" w:hAnsi="Times New Roman"/>
          <w:sz w:val="24"/>
        </w:rPr>
        <w:t>.</w:t>
      </w:r>
    </w:p>
    <w:p w14:paraId="59D1929A" w14:textId="77777777" w:rsidR="00CD08B7" w:rsidRPr="00BE5F5F" w:rsidRDefault="00CD08B7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04DE">
        <w:rPr>
          <w:rFonts w:ascii="Times New Roman" w:hAnsi="Times New Roman"/>
          <w:b/>
          <w:sz w:val="24"/>
        </w:rPr>
        <w:t>Цель работы</w:t>
      </w:r>
      <w:r w:rsidR="00CE04DE" w:rsidRPr="00CE04DE">
        <w:rPr>
          <w:rFonts w:ascii="Times New Roman" w:hAnsi="Times New Roman"/>
          <w:b/>
          <w:sz w:val="24"/>
        </w:rPr>
        <w:t xml:space="preserve"> -</w:t>
      </w:r>
      <w:r w:rsidRPr="00CE04DE">
        <w:rPr>
          <w:rFonts w:ascii="Times New Roman" w:hAnsi="Times New Roman"/>
          <w:sz w:val="24"/>
        </w:rPr>
        <w:t xml:space="preserve"> </w:t>
      </w:r>
      <w:r w:rsidR="00CE04DE" w:rsidRPr="00CE04DE">
        <w:rPr>
          <w:rFonts w:ascii="Times New Roman" w:hAnsi="Times New Roman"/>
          <w:sz w:val="24"/>
        </w:rPr>
        <w:t xml:space="preserve">исследовать проявления и детерминанты благополучия и неблагополучия различных групп населения в современной России, в том числе в контексте </w:t>
      </w:r>
      <w:r w:rsidR="00CE04DE" w:rsidRPr="00BE5F5F">
        <w:rPr>
          <w:rFonts w:ascii="Times New Roman" w:hAnsi="Times New Roman"/>
          <w:sz w:val="24"/>
        </w:rPr>
        <w:t>международных сравнений и в динамике, включая период пандемии COVID-19</w:t>
      </w:r>
      <w:r w:rsidRPr="00BE5F5F">
        <w:rPr>
          <w:rFonts w:ascii="Times New Roman" w:hAnsi="Times New Roman"/>
          <w:sz w:val="24"/>
        </w:rPr>
        <w:t>.</w:t>
      </w:r>
    </w:p>
    <w:p w14:paraId="57F206B2" w14:textId="77777777" w:rsidR="00CE04DE" w:rsidRPr="00CE04DE" w:rsidRDefault="00CD08B7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CE04DE">
        <w:rPr>
          <w:rFonts w:ascii="Times New Roman" w:hAnsi="Times New Roman"/>
          <w:b/>
          <w:sz w:val="24"/>
        </w:rPr>
        <w:t xml:space="preserve">Используемые методы: </w:t>
      </w:r>
      <w:r w:rsidR="00CE04DE" w:rsidRPr="00CE04DE">
        <w:rPr>
          <w:rFonts w:ascii="Times New Roman" w:hAnsi="Times New Roman"/>
          <w:sz w:val="24"/>
        </w:rPr>
        <w:t>исследование является междисциплинарным и опирается на теоретические подходы и методологию социологии, социальной антропологии и экономики</w:t>
      </w:r>
      <w:r w:rsidR="00CE04DE">
        <w:rPr>
          <w:rFonts w:ascii="Times New Roman" w:hAnsi="Times New Roman"/>
          <w:sz w:val="24"/>
        </w:rPr>
        <w:t xml:space="preserve">; в рамках работы используются такие исследовательские методы, как </w:t>
      </w:r>
      <w:r w:rsidR="00CE04DE" w:rsidRPr="00CE04DE">
        <w:rPr>
          <w:rFonts w:ascii="Times New Roman" w:hAnsi="Times New Roman"/>
          <w:sz w:val="24"/>
        </w:rPr>
        <w:t xml:space="preserve">кабинетное исследование, теоретико-методологический анализ российских и зарубежных публикаций, анализ нормативно-правовых документов, описательный и многомерный статистический и эконометрический анализ данных выборочных обследований населения, </w:t>
      </w:r>
      <w:proofErr w:type="spellStart"/>
      <w:r w:rsidR="00CE04DE" w:rsidRPr="00CE04DE">
        <w:rPr>
          <w:rFonts w:ascii="Times New Roman" w:hAnsi="Times New Roman"/>
          <w:sz w:val="24"/>
        </w:rPr>
        <w:t>микромоделирование</w:t>
      </w:r>
      <w:proofErr w:type="spellEnd"/>
      <w:r w:rsidR="00CE04DE" w:rsidRPr="00CE04DE">
        <w:rPr>
          <w:rFonts w:ascii="Times New Roman" w:hAnsi="Times New Roman"/>
          <w:sz w:val="24"/>
        </w:rPr>
        <w:t>, социально-антропологические методы полевых исследований и анализа качественных данных и др</w:t>
      </w:r>
      <w:r w:rsidR="00BE5F5F">
        <w:rPr>
          <w:rFonts w:ascii="Times New Roman" w:hAnsi="Times New Roman"/>
          <w:sz w:val="24"/>
        </w:rPr>
        <w:t>.</w:t>
      </w:r>
    </w:p>
    <w:p w14:paraId="7AF7B1F4" w14:textId="77777777" w:rsidR="00BE5F5F" w:rsidRPr="00BE5F5F" w:rsidRDefault="005843D3" w:rsidP="00A27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highlight w:val="yellow"/>
        </w:rPr>
      </w:pPr>
      <w:r w:rsidRPr="00BE5F5F">
        <w:rPr>
          <w:rFonts w:ascii="Times New Roman" w:hAnsi="Times New Roman"/>
          <w:b/>
          <w:sz w:val="24"/>
        </w:rPr>
        <w:t>Эмпирическая база исследования:</w:t>
      </w:r>
      <w:r w:rsidR="00CD08B7" w:rsidRPr="00BE5F5F">
        <w:rPr>
          <w:rFonts w:ascii="Times New Roman" w:hAnsi="Times New Roman"/>
          <w:b/>
          <w:sz w:val="24"/>
        </w:rPr>
        <w:t xml:space="preserve"> </w:t>
      </w:r>
      <w:r w:rsidR="00BE5F5F" w:rsidRPr="00BE5F5F">
        <w:rPr>
          <w:rFonts w:ascii="Times New Roman" w:hAnsi="Times New Roman"/>
          <w:sz w:val="24"/>
        </w:rPr>
        <w:t>данные</w:t>
      </w:r>
      <w:r w:rsidR="00BE5F5F" w:rsidRPr="00BE5F5F">
        <w:rPr>
          <w:rFonts w:ascii="Times New Roman" w:hAnsi="Times New Roman"/>
          <w:b/>
          <w:sz w:val="24"/>
        </w:rPr>
        <w:t xml:space="preserve"> </w:t>
      </w:r>
      <w:r w:rsidR="00BE5F5F" w:rsidRPr="00BE5F5F">
        <w:rPr>
          <w:rFonts w:ascii="Times New Roman" w:hAnsi="Times New Roman"/>
          <w:sz w:val="24"/>
        </w:rPr>
        <w:t>Российского мониторинга экономического положения и здор</w:t>
      </w:r>
      <w:r w:rsidR="00BE5F5F">
        <w:rPr>
          <w:rFonts w:ascii="Times New Roman" w:hAnsi="Times New Roman"/>
          <w:sz w:val="24"/>
        </w:rPr>
        <w:t>овья населения НИУ ВШЭ (</w:t>
      </w:r>
      <w:r w:rsidR="00BE5F5F" w:rsidRPr="00BE5F5F">
        <w:rPr>
          <w:rFonts w:ascii="Times New Roman" w:hAnsi="Times New Roman"/>
          <w:sz w:val="24"/>
        </w:rPr>
        <w:t>РМЭЗ НИУ ВШЭ)</w:t>
      </w:r>
      <w:r w:rsidR="00BE5F5F">
        <w:rPr>
          <w:rFonts w:ascii="Times New Roman" w:hAnsi="Times New Roman"/>
          <w:sz w:val="24"/>
        </w:rPr>
        <w:t xml:space="preserve">, </w:t>
      </w:r>
      <w:r w:rsidR="00BE5F5F" w:rsidRPr="00BE5F5F">
        <w:rPr>
          <w:rFonts w:ascii="Times New Roman" w:hAnsi="Times New Roman"/>
          <w:sz w:val="24"/>
        </w:rPr>
        <w:t>обследований Института социологии ФНИСЦ РАН,</w:t>
      </w:r>
      <w:r w:rsidR="00BE5F5F">
        <w:rPr>
          <w:rFonts w:ascii="Times New Roman" w:hAnsi="Times New Roman"/>
          <w:sz w:val="24"/>
        </w:rPr>
        <w:t xml:space="preserve"> Международной программы</w:t>
      </w:r>
      <w:r w:rsidR="00BE5F5F" w:rsidRPr="00BE5F5F">
        <w:rPr>
          <w:rFonts w:ascii="Times New Roman" w:hAnsi="Times New Roman"/>
          <w:sz w:val="24"/>
        </w:rPr>
        <w:t xml:space="preserve"> социальных исследований </w:t>
      </w:r>
      <w:r w:rsidR="00BE5F5F">
        <w:rPr>
          <w:rFonts w:ascii="Times New Roman" w:hAnsi="Times New Roman"/>
          <w:sz w:val="24"/>
        </w:rPr>
        <w:t>(</w:t>
      </w:r>
      <w:r w:rsidR="00BE5F5F" w:rsidRPr="00BE5F5F">
        <w:rPr>
          <w:rFonts w:ascii="Times New Roman" w:hAnsi="Times New Roman"/>
          <w:sz w:val="24"/>
        </w:rPr>
        <w:t>ISSP</w:t>
      </w:r>
      <w:r w:rsidR="00BE5F5F">
        <w:rPr>
          <w:rFonts w:ascii="Times New Roman" w:hAnsi="Times New Roman"/>
          <w:sz w:val="24"/>
        </w:rPr>
        <w:t>)</w:t>
      </w:r>
      <w:r w:rsidR="00BE5F5F" w:rsidRPr="00BE5F5F">
        <w:rPr>
          <w:rFonts w:ascii="Times New Roman" w:hAnsi="Times New Roman"/>
          <w:sz w:val="24"/>
        </w:rPr>
        <w:t>, Европейского социального исследования</w:t>
      </w:r>
      <w:r w:rsidR="00BE5F5F">
        <w:rPr>
          <w:rFonts w:ascii="Times New Roman" w:hAnsi="Times New Roman"/>
          <w:sz w:val="24"/>
        </w:rPr>
        <w:t xml:space="preserve"> (</w:t>
      </w:r>
      <w:r w:rsidR="00BE5F5F">
        <w:rPr>
          <w:rFonts w:ascii="Times New Roman" w:hAnsi="Times New Roman"/>
          <w:sz w:val="24"/>
          <w:lang w:val="en-GB"/>
        </w:rPr>
        <w:t>ESS</w:t>
      </w:r>
      <w:r w:rsidR="00BE5F5F" w:rsidRPr="00BE5F5F">
        <w:rPr>
          <w:rFonts w:ascii="Times New Roman" w:hAnsi="Times New Roman"/>
          <w:sz w:val="24"/>
        </w:rPr>
        <w:t>)</w:t>
      </w:r>
      <w:r w:rsidR="00BE5F5F">
        <w:rPr>
          <w:rFonts w:ascii="Times New Roman" w:hAnsi="Times New Roman"/>
          <w:sz w:val="24"/>
        </w:rPr>
        <w:t xml:space="preserve">, </w:t>
      </w:r>
      <w:r w:rsidR="00BE5F5F" w:rsidRPr="00BE5F5F">
        <w:rPr>
          <w:rFonts w:ascii="Times New Roman" w:hAnsi="Times New Roman"/>
          <w:sz w:val="24"/>
        </w:rPr>
        <w:t>выборочных обследований населения, проводимых Росстатом, таких как Выборочное наблюдение доходов населения и участия в социальных программах (ВНДН), Комплексное наблюдение условий жизни (КОУЖ) и Обследование бюджетов домашних хозяйств (ОБДХ)</w:t>
      </w:r>
      <w:r w:rsidR="00BE5F5F">
        <w:rPr>
          <w:rFonts w:ascii="Times New Roman" w:hAnsi="Times New Roman"/>
          <w:sz w:val="24"/>
        </w:rPr>
        <w:t>. В рамках данного</w:t>
      </w:r>
      <w:r w:rsidR="00BE5F5F" w:rsidRPr="00BE5F5F">
        <w:rPr>
          <w:rFonts w:ascii="Times New Roman" w:hAnsi="Times New Roman"/>
          <w:sz w:val="24"/>
        </w:rPr>
        <w:t xml:space="preserve"> </w:t>
      </w:r>
      <w:r w:rsidR="00BE5F5F">
        <w:rPr>
          <w:rFonts w:ascii="Times New Roman" w:hAnsi="Times New Roman"/>
          <w:sz w:val="24"/>
        </w:rPr>
        <w:t>проекта</w:t>
      </w:r>
      <w:r w:rsidR="00BE5F5F" w:rsidRPr="00BE5F5F">
        <w:rPr>
          <w:rFonts w:ascii="Times New Roman" w:hAnsi="Times New Roman"/>
          <w:sz w:val="24"/>
        </w:rPr>
        <w:t xml:space="preserve"> впервые для изучения различных аспектов жизни и поведения лиц пожилого (50 лет и старше) возраста используются данные российского Национального исследования старшего поколения (НИСП), проведенного осенью 2021 г. в рамках и по методологии европейского Исследования здоровья, старения и траекторий жизни на пенсии (SHARE).</w:t>
      </w:r>
    </w:p>
    <w:p w14:paraId="0B72CEF0" w14:textId="77777777" w:rsidR="00F33212" w:rsidRPr="003F2F4D" w:rsidRDefault="00F33212" w:rsidP="00A27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3F2F4D">
        <w:rPr>
          <w:rFonts w:ascii="Times New Roman" w:hAnsi="Times New Roman"/>
          <w:b/>
          <w:sz w:val="24"/>
        </w:rPr>
        <w:t>Результаты работы:</w:t>
      </w:r>
    </w:p>
    <w:p w14:paraId="4E7972E0" w14:textId="77777777" w:rsidR="003F2F4D" w:rsidRPr="003F2F4D" w:rsidRDefault="003F2F4D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F2F4D">
        <w:rPr>
          <w:rFonts w:ascii="Times New Roman" w:hAnsi="Times New Roman"/>
          <w:sz w:val="24"/>
        </w:rPr>
        <w:t>Результаты анализа потребительских установок, присущих малоимущему населению,</w:t>
      </w:r>
      <w:r w:rsidRPr="00D070B1">
        <w:rPr>
          <w:rFonts w:eastAsia="Times New Roman"/>
          <w:highlight w:val="cyan"/>
        </w:rPr>
        <w:t xml:space="preserve"> </w:t>
      </w:r>
      <w:r w:rsidRPr="003F2F4D">
        <w:rPr>
          <w:rFonts w:ascii="Times New Roman" w:hAnsi="Times New Roman"/>
          <w:sz w:val="24"/>
        </w:rPr>
        <w:t>свидетельствуют о том, что бедные и более обеспеченные группы населения различаются в своих потребительских установках. Малоимущие в большей степени ориентируются на цену, опыт и политику компании, в то время как у остальных групп в приоритете характеристики товара и ориентация на моду и бренды. При этом в работе показана неоднородность группы малоимущих в сфере потребления – выделено 4 класса малоимущих потребителей, чьи типичные наборы покупок можно охарактеризовать как потребление: (1) минимального набора, (2) базового набора, (3) инвестиций в здоровье и человеческий капитал детей, а также (4) максимального набора.</w:t>
      </w:r>
    </w:p>
    <w:p w14:paraId="2438E33A" w14:textId="77777777" w:rsidR="003F2F4D" w:rsidRDefault="003F2F4D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F2F4D">
        <w:rPr>
          <w:rFonts w:ascii="Times New Roman" w:hAnsi="Times New Roman"/>
          <w:sz w:val="24"/>
        </w:rPr>
        <w:lastRenderedPageBreak/>
        <w:t>Проведенная оценка имущественной обеспеченности получателей мер социальной поддержки в России показала, что обеспеченность нефинансовыми активами, включающими основное жилье, другую жилую недвижимость, нежилые здания, землю и автотранспорт, как в количественном, так и в качественном выражении в среднем ниже у домохозяйств с низкими доходами, чем у домохозяйств с более высоким уровнем доходов. Наиболее дифференцированы по качественным характеристикам такие объекты собственности, как автомобили и дополнительное жилье, пригодное для круглогодичного проживания.</w:t>
      </w:r>
    </w:p>
    <w:p w14:paraId="3571F878" w14:textId="77777777" w:rsidR="003F2F4D" w:rsidRPr="009E19E4" w:rsidRDefault="003F2F4D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E19E4">
        <w:rPr>
          <w:rFonts w:ascii="Times New Roman" w:hAnsi="Times New Roman"/>
          <w:sz w:val="24"/>
        </w:rPr>
        <w:t xml:space="preserve">Анализ длительности пребывания в бедности и застойной бедности показал, что наиболее типичным является кратковременное пребывание в бедности, продолжительностью 1 год. Однако почти десятая часть тех, кто стал бедным, сохраняет свой статус малоимущего на протяжении 5 и более лет и сталкивается с рисками маргинализации. </w:t>
      </w:r>
      <w:proofErr w:type="gramStart"/>
      <w:r w:rsidRPr="009E19E4">
        <w:rPr>
          <w:rFonts w:ascii="Times New Roman" w:hAnsi="Times New Roman"/>
          <w:sz w:val="24"/>
        </w:rPr>
        <w:t>Ключевым фактором, увеличивающим длительность пребывания в составе малоимущих в России является</w:t>
      </w:r>
      <w:proofErr w:type="gramEnd"/>
      <w:r w:rsidRPr="009E19E4">
        <w:rPr>
          <w:rFonts w:ascii="Times New Roman" w:hAnsi="Times New Roman"/>
          <w:sz w:val="24"/>
        </w:rPr>
        <w:t xml:space="preserve"> количество детей в семье, а суммарное число лет в состоянии бедности положительно коррелирует с проживанием в сельской местности.</w:t>
      </w:r>
    </w:p>
    <w:p w14:paraId="7055E99C" w14:textId="0348BD65" w:rsidR="003F2F4D" w:rsidRPr="009E19E4" w:rsidRDefault="003F2F4D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E19E4">
        <w:rPr>
          <w:rFonts w:ascii="Times New Roman" w:hAnsi="Times New Roman"/>
          <w:sz w:val="24"/>
        </w:rPr>
        <w:t>Результат</w:t>
      </w:r>
      <w:r w:rsidR="00794CA3">
        <w:rPr>
          <w:rFonts w:ascii="Times New Roman" w:hAnsi="Times New Roman"/>
          <w:sz w:val="24"/>
        </w:rPr>
        <w:t>ом</w:t>
      </w:r>
      <w:r w:rsidRPr="009E19E4">
        <w:rPr>
          <w:rFonts w:ascii="Times New Roman" w:hAnsi="Times New Roman"/>
          <w:sz w:val="24"/>
        </w:rPr>
        <w:t xml:space="preserve"> изучения субъективных и объективных мер неравенства и бедности в 22 странах, включенных в массив данных ISSP стал вывод о том, что Россия характеризуется наибольшим смещением в низкие субъективные оценки положения в обществе, хотя уровень ВВП и уровни бедности по национальным и международным чертам далеки от самых низких показателей в выборке.</w:t>
      </w:r>
      <w:proofErr w:type="gramEnd"/>
      <w:r w:rsidRPr="009E19E4">
        <w:rPr>
          <w:rFonts w:ascii="Times New Roman" w:hAnsi="Times New Roman"/>
          <w:sz w:val="24"/>
        </w:rPr>
        <w:t xml:space="preserve"> Еще одна характерная черта – оценка неравенства как высокого при одновременно достаточно низком уровне «злости» населения в его отношении.</w:t>
      </w:r>
    </w:p>
    <w:p w14:paraId="2AEFF398" w14:textId="77777777" w:rsidR="003F2F4D" w:rsidRPr="009E19E4" w:rsidRDefault="003F2F4D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E19E4">
        <w:rPr>
          <w:rFonts w:ascii="Times New Roman" w:hAnsi="Times New Roman"/>
          <w:sz w:val="24"/>
        </w:rPr>
        <w:t xml:space="preserve">Анализ </w:t>
      </w:r>
      <w:proofErr w:type="spellStart"/>
      <w:r w:rsidRPr="009E19E4">
        <w:rPr>
          <w:rFonts w:ascii="Times New Roman" w:hAnsi="Times New Roman"/>
          <w:sz w:val="24"/>
        </w:rPr>
        <w:t>сверхбогатства</w:t>
      </w:r>
      <w:proofErr w:type="spellEnd"/>
      <w:r w:rsidRPr="009E19E4">
        <w:rPr>
          <w:rFonts w:ascii="Times New Roman" w:hAnsi="Times New Roman"/>
          <w:sz w:val="24"/>
        </w:rPr>
        <w:t xml:space="preserve"> в России показал, что состав группы 200 богатейших российских бизнесменов, представляющих «заметное» </w:t>
      </w:r>
      <w:proofErr w:type="spellStart"/>
      <w:r w:rsidRPr="009E19E4">
        <w:rPr>
          <w:rFonts w:ascii="Times New Roman" w:hAnsi="Times New Roman"/>
          <w:sz w:val="24"/>
        </w:rPr>
        <w:t>сверхбогатство</w:t>
      </w:r>
      <w:proofErr w:type="spellEnd"/>
      <w:r w:rsidRPr="009E19E4">
        <w:rPr>
          <w:rFonts w:ascii="Times New Roman" w:hAnsi="Times New Roman"/>
          <w:sz w:val="24"/>
        </w:rPr>
        <w:t>, ежегодно воспроизводится более чем на 90%. За период 2011–2021 гг. более 60% его представителей сохранили в нем свои позиции. 2/3 этих бизнесменов владеют корпорациями, относящимися к топливно-энергетическому комплексу, а также к финансам и промышленности. Ключевым отраслевым изменением последнего десятилетия стал рост числа бизнесменов, чей бизнес относится к сфере компьютерных технологий, IT и связи, однако насколько эта ситуация будет устойчивой, пока судить трудно.</w:t>
      </w:r>
    </w:p>
    <w:p w14:paraId="5260D3AD" w14:textId="77777777" w:rsidR="00422419" w:rsidRPr="009E19E4" w:rsidRDefault="00422419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E19E4">
        <w:rPr>
          <w:rFonts w:ascii="Times New Roman" w:hAnsi="Times New Roman"/>
          <w:sz w:val="24"/>
        </w:rPr>
        <w:t xml:space="preserve">Результаты оценивания межпоколенной мобильности субъективного благосостояния и характеристик, которые способствуют мобильности благосостояния в России, позволяют уверенно говорить о существовании </w:t>
      </w:r>
      <w:proofErr w:type="spellStart"/>
      <w:r w:rsidRPr="009E19E4">
        <w:rPr>
          <w:rFonts w:ascii="Times New Roman" w:hAnsi="Times New Roman"/>
          <w:sz w:val="24"/>
        </w:rPr>
        <w:t>межпоколенческой</w:t>
      </w:r>
      <w:proofErr w:type="spellEnd"/>
      <w:r w:rsidRPr="009E19E4">
        <w:rPr>
          <w:rFonts w:ascii="Times New Roman" w:hAnsi="Times New Roman"/>
          <w:sz w:val="24"/>
        </w:rPr>
        <w:t xml:space="preserve"> мобильности субъективного благополучия с более высоким уровнем мобильности между матерями и дочерями по сравнению с сыновьями.</w:t>
      </w:r>
    </w:p>
    <w:p w14:paraId="67A57C4C" w14:textId="18968C82" w:rsidR="009E19E4" w:rsidRPr="009E19E4" w:rsidRDefault="00422419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</w:t>
      </w:r>
      <w:r w:rsidRPr="009E19E4">
        <w:rPr>
          <w:rFonts w:ascii="Times New Roman" w:hAnsi="Times New Roman"/>
          <w:sz w:val="24"/>
        </w:rPr>
        <w:t xml:space="preserve">роли, которую налогово-бюджетная политика государства всеобщего благосостояния играла в сокращении неравенства и бедности в восьми постсоветских странах (Армения, Беларусь, Грузия, Кыргызстан, Молдова, Россия, Таджикистан и Украина) в середине 2010х гг., и </w:t>
      </w:r>
      <w:proofErr w:type="spellStart"/>
      <w:r w:rsidRPr="009E19E4">
        <w:rPr>
          <w:rFonts w:ascii="Times New Roman" w:hAnsi="Times New Roman"/>
          <w:sz w:val="24"/>
        </w:rPr>
        <w:t>оцененка</w:t>
      </w:r>
      <w:proofErr w:type="spellEnd"/>
      <w:r w:rsidRPr="009E19E4">
        <w:rPr>
          <w:rFonts w:ascii="Times New Roman" w:hAnsi="Times New Roman"/>
          <w:sz w:val="24"/>
        </w:rPr>
        <w:t xml:space="preserve"> их эффективность по методологии «Приверженность равенству» (CEQ) раскрывают такие общие для рассмотренных стран тенденции, как </w:t>
      </w:r>
      <w:r w:rsidR="009E19E4" w:rsidRPr="009E19E4">
        <w:rPr>
          <w:rFonts w:ascii="Times New Roman" w:hAnsi="Times New Roman"/>
          <w:sz w:val="24"/>
        </w:rPr>
        <w:t xml:space="preserve">резкий рост бедности и неравенства в 1990ч гг., экономический рост и снижение бедности в 2000х гг., не обязательно сопровождавшийся сокращением неравенства. Во всех странах, кроме Кыргызстана, налоговые системы являются регрессивными из-за единой ставки НДФЛ и высокой доли доходов от косвенных налогов. Все страны, включенные в это исследование, имеют возможности для увеличения перераспределительного воздействия своих систем налогов и трансфертов за счет увеличения государственных доходов и расходов. Варианты реформ налогово-бюджетной политики, усиливающих перераспределительное воздействие государства всеобщего благосостояния, включают следующие: (1) увеличение расходов на прямые </w:t>
      </w:r>
      <w:proofErr w:type="spellStart"/>
      <w:r w:rsidR="009E19E4" w:rsidRPr="009E19E4">
        <w:rPr>
          <w:rFonts w:ascii="Times New Roman" w:hAnsi="Times New Roman"/>
          <w:sz w:val="24"/>
        </w:rPr>
        <w:t>непенсионные</w:t>
      </w:r>
      <w:proofErr w:type="spellEnd"/>
      <w:r w:rsidR="009E19E4" w:rsidRPr="009E19E4">
        <w:rPr>
          <w:rFonts w:ascii="Times New Roman" w:hAnsi="Times New Roman"/>
          <w:sz w:val="24"/>
        </w:rPr>
        <w:t xml:space="preserve"> трансферты с постепенным снижением пособий по мере роста доходов домохозяйств во избежание снижения стимулов к занятости; (2) повышение пенсионного </w:t>
      </w:r>
      <w:r w:rsidR="009E19E4" w:rsidRPr="009E19E4">
        <w:rPr>
          <w:rFonts w:ascii="Times New Roman" w:hAnsi="Times New Roman"/>
          <w:sz w:val="24"/>
        </w:rPr>
        <w:lastRenderedPageBreak/>
        <w:t>возраста; (3) улучшение доступа малообеспеченных слоев населения к высшему образованию; (4) расширение охвата налога на доходы физических лиц и внедрение прогрессивных структур ставок подоходного налога; (5) сокращение регрессивных налоговых льгот; и (6) более широкое использование налогов на имущество.</w:t>
      </w:r>
    </w:p>
    <w:p w14:paraId="529E5164" w14:textId="4B8F5986" w:rsidR="00422419" w:rsidRPr="00E011D1" w:rsidRDefault="00422419" w:rsidP="00E011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11D1">
        <w:rPr>
          <w:rFonts w:ascii="Times New Roman" w:hAnsi="Times New Roman"/>
          <w:sz w:val="24"/>
        </w:rPr>
        <w:t xml:space="preserve"> </w:t>
      </w:r>
      <w:r w:rsidR="009E19E4" w:rsidRPr="00E011D1">
        <w:rPr>
          <w:rFonts w:ascii="Times New Roman" w:hAnsi="Times New Roman"/>
          <w:sz w:val="24"/>
        </w:rPr>
        <w:t>Результаты анализа нестандартных форм занятости, которые получили распространение после экономического кризиса 2008 г. , стимулировались технологическим развитием отраслей экономики и определили снижение социальной устойчивости занятости в Росси, позволили выделить факторы, провоцирующие вовлеченность работника в такие формы</w:t>
      </w:r>
      <w:r w:rsidR="00BF11F6" w:rsidRPr="00994733">
        <w:rPr>
          <w:rFonts w:ascii="Times New Roman" w:hAnsi="Times New Roman"/>
          <w:sz w:val="24"/>
        </w:rPr>
        <w:t xml:space="preserve"> </w:t>
      </w:r>
      <w:r w:rsidR="00BF11F6">
        <w:rPr>
          <w:rFonts w:ascii="Times New Roman" w:hAnsi="Times New Roman"/>
          <w:sz w:val="24"/>
        </w:rPr>
        <w:t>занятости</w:t>
      </w:r>
      <w:r w:rsidR="009E19E4" w:rsidRPr="00E011D1">
        <w:rPr>
          <w:rFonts w:ascii="Times New Roman" w:hAnsi="Times New Roman"/>
          <w:sz w:val="24"/>
        </w:rPr>
        <w:t>. Шансы на стандартную занятость в большей степени зависят от таких компонент человеческого потенциала, как уровень образования и состояни</w:t>
      </w:r>
      <w:r w:rsidR="00BF11F6">
        <w:rPr>
          <w:rFonts w:ascii="Times New Roman" w:hAnsi="Times New Roman"/>
          <w:sz w:val="24"/>
        </w:rPr>
        <w:t>е</w:t>
      </w:r>
      <w:r w:rsidR="009E19E4" w:rsidRPr="00E011D1">
        <w:rPr>
          <w:rFonts w:ascii="Times New Roman" w:hAnsi="Times New Roman"/>
          <w:sz w:val="24"/>
        </w:rPr>
        <w:t xml:space="preserve"> здоровья, и от структурных факторов – формы собственности предприятия и типа поселения по месту проживания. Для стандартной занятости, предполагающей наиболее высокую степень защищенности трудовых прав работников и устойчивость их занятости, необходимо наличие профессионального образования, хорошее состояние здоровья, возраст от 30 до 50 лет, а также проживание в городах, особенно крупных, где находится достаточное количество государственных предприятий и организаций</w:t>
      </w:r>
      <w:r w:rsidR="009E19E4" w:rsidRPr="004B1E42">
        <w:rPr>
          <w:rFonts w:ascii="Times New Roman" w:hAnsi="Times New Roman"/>
          <w:sz w:val="24"/>
        </w:rPr>
        <w:t xml:space="preserve">. В результате, молодежь и жители сельской местности изначально находятся на рынке труда в невыгодных для них условиях. </w:t>
      </w:r>
    </w:p>
    <w:p w14:paraId="1EA544BE" w14:textId="04B6BB81" w:rsidR="009E19E4" w:rsidRDefault="009E19E4" w:rsidP="00E011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11D1">
        <w:rPr>
          <w:rFonts w:ascii="Times New Roman" w:hAnsi="Times New Roman"/>
          <w:sz w:val="24"/>
        </w:rPr>
        <w:t xml:space="preserve">Теоретическая работа, которая была проделана в рамках проекта, позволила выделить концепции, характеризующие различные аспекты неблагополучия в старости – от ставших уже привычными бедности и социальной исключенности до более новых и хуже </w:t>
      </w:r>
      <w:proofErr w:type="spellStart"/>
      <w:r w:rsidRPr="00E011D1">
        <w:rPr>
          <w:rFonts w:ascii="Times New Roman" w:hAnsi="Times New Roman"/>
          <w:sz w:val="24"/>
        </w:rPr>
        <w:t>концептуализированных</w:t>
      </w:r>
      <w:proofErr w:type="spellEnd"/>
      <w:r w:rsidRPr="00E011D1">
        <w:rPr>
          <w:rFonts w:ascii="Times New Roman" w:hAnsi="Times New Roman"/>
          <w:sz w:val="24"/>
        </w:rPr>
        <w:t xml:space="preserve"> понятий уязвимости, незащищенности и ненадежности (</w:t>
      </w:r>
      <w:proofErr w:type="spellStart"/>
      <w:r w:rsidRPr="00E011D1">
        <w:rPr>
          <w:rFonts w:ascii="Times New Roman" w:hAnsi="Times New Roman"/>
          <w:sz w:val="24"/>
        </w:rPr>
        <w:t>прекарности</w:t>
      </w:r>
      <w:proofErr w:type="spellEnd"/>
      <w:r w:rsidRPr="00E011D1">
        <w:rPr>
          <w:rFonts w:ascii="Times New Roman" w:hAnsi="Times New Roman"/>
          <w:sz w:val="24"/>
        </w:rPr>
        <w:t>). Так же, как исследования благосостояния и неравенства постепенно расширяют рамку, включая немонетарные аспекты, исследователи неблагополучия пытаются выработать подходы, позволяющие описать и оценить риски для пожилых людей, не связанные или не обязательно связанные с уровнем их доходов.</w:t>
      </w:r>
    </w:p>
    <w:p w14:paraId="454AF794" w14:textId="77777777" w:rsidR="00E011D1" w:rsidRDefault="00E011D1" w:rsidP="00E011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Результатом методологической работы по анализу качества жизни пожилых </w:t>
      </w:r>
      <w:r w:rsidRPr="00E011D1">
        <w:rPr>
          <w:rFonts w:ascii="Times New Roman" w:hAnsi="Times New Roman"/>
          <w:sz w:val="24"/>
        </w:rPr>
        <w:t>стало конструирование измерения качества жизни пожилых на примере апробации Шкалы качества жизни CASP на российских данных. Среднее значение шкалы CASP-8 для России составило 15,6, модальное и медианное значения – 15,0 и 16,0 соответственно. Распределение значений шкалы можно считать нормальным, а исследуемую совокупность – российское население в возрасте 50 лет и старше – однородным с точки зрения качества жизни, измеренного на основе CASP</w:t>
      </w:r>
      <w:r w:rsidRPr="00E011D1">
        <w:rPr>
          <w:rFonts w:ascii="Times New Roman" w:hAnsi="Times New Roman" w:hint="eastAsia"/>
          <w:sz w:val="24"/>
        </w:rPr>
        <w:t>‑</w:t>
      </w:r>
      <w:r w:rsidRPr="00E011D1">
        <w:rPr>
          <w:rFonts w:ascii="Times New Roman" w:hAnsi="Times New Roman"/>
          <w:sz w:val="24"/>
        </w:rPr>
        <w:t>8.</w:t>
      </w:r>
    </w:p>
    <w:p w14:paraId="6808B856" w14:textId="77777777" w:rsidR="00E011D1" w:rsidRDefault="00E011D1" w:rsidP="00E011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Эмпирический анализ благополучия в </w:t>
      </w:r>
      <w:proofErr w:type="spellStart"/>
      <w:r>
        <w:rPr>
          <w:rFonts w:ascii="Times New Roman" w:hAnsi="Times New Roman"/>
          <w:sz w:val="24"/>
        </w:rPr>
        <w:t>сташем</w:t>
      </w:r>
      <w:proofErr w:type="spellEnd"/>
      <w:r>
        <w:rPr>
          <w:rFonts w:ascii="Times New Roman" w:hAnsi="Times New Roman"/>
          <w:sz w:val="24"/>
        </w:rPr>
        <w:t xml:space="preserve"> возраста показал, что оно связано (но не однозначно) с получением помощи от близких. </w:t>
      </w:r>
      <w:r w:rsidRPr="00E011D1">
        <w:rPr>
          <w:rFonts w:ascii="Times New Roman" w:hAnsi="Times New Roman"/>
          <w:sz w:val="24"/>
        </w:rPr>
        <w:t>Получение финансовой помощи от детей оказалось положительно связано с уровнем удовлетворённости жизнью людей старшего возраста, однако получение инструментальной помощи от детей отрицательно связано с субъективным благополучием пожилых людей.</w:t>
      </w:r>
    </w:p>
    <w:p w14:paraId="3194B7B3" w14:textId="77777777" w:rsidR="00E011D1" w:rsidRPr="00E56AAE" w:rsidRDefault="00B474AD" w:rsidP="00E011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56AAE">
        <w:rPr>
          <w:rFonts w:ascii="Times New Roman" w:hAnsi="Times New Roman"/>
          <w:sz w:val="24"/>
        </w:rPr>
        <w:t xml:space="preserve">Результаты анализа финансового поведения старшего поколения указали на возрастание доли людей, имеющих сбережения, по мере увеличения возраста респондентов. Регрессионный анализ </w:t>
      </w:r>
      <w:proofErr w:type="spellStart"/>
      <w:r w:rsidRPr="00E56AAE">
        <w:rPr>
          <w:rFonts w:ascii="Times New Roman" w:hAnsi="Times New Roman"/>
          <w:sz w:val="24"/>
        </w:rPr>
        <w:t>показызал</w:t>
      </w:r>
      <w:proofErr w:type="spellEnd"/>
      <w:r w:rsidRPr="00E56AAE">
        <w:rPr>
          <w:rFonts w:ascii="Times New Roman" w:hAnsi="Times New Roman"/>
          <w:sz w:val="24"/>
        </w:rPr>
        <w:t>, что формирование сбережений тесно и положительно связано с субъективными оценками уровня материального положения и со старшим возрастом респондента (70 лет и старше). Шансы иметь сбережения выше у людей старшего возраста с высоким уровнем квалификации на текущем или последнем месте работы; а также у лиц с хорошими или даже удовлетворительными цифровыми навыками. Обе эти характеристики связаны как с человеческим капиталом и, вероятно, способностью лучше планировать свое будущее, так и, скорее всего, с более высокой оплатой труда (в настоящее время или в прошлом), позволяющей (позволявшей) формировать сбережения.</w:t>
      </w:r>
    </w:p>
    <w:p w14:paraId="31581C8E" w14:textId="77777777" w:rsidR="00B474AD" w:rsidRPr="00E56AAE" w:rsidRDefault="00B474AD" w:rsidP="00E011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Результаты исследований о влиянии цифровизации на качество жизни пожилого населения показывают, что этот технологический процесс может оказывать влияние на доступ лиц старшего возраста к труду и дистанционной медицинской помощи. По итогам регрессионного анализа</w:t>
      </w:r>
      <w:r w:rsidR="00E56AAE">
        <w:rPr>
          <w:rFonts w:ascii="Times New Roman" w:hAnsi="Times New Roman"/>
          <w:sz w:val="24"/>
        </w:rPr>
        <w:t xml:space="preserve"> статуса и условий занятости</w:t>
      </w:r>
      <w:r>
        <w:rPr>
          <w:rFonts w:ascii="Times New Roman" w:hAnsi="Times New Roman"/>
          <w:sz w:val="24"/>
        </w:rPr>
        <w:t xml:space="preserve">, </w:t>
      </w:r>
      <w:r w:rsidRPr="00E56AAE">
        <w:rPr>
          <w:rFonts w:ascii="Times New Roman" w:hAnsi="Times New Roman"/>
          <w:sz w:val="24"/>
        </w:rPr>
        <w:t>развитые цифровые навыки значимо увеличивают вероятность з</w:t>
      </w:r>
      <w:r w:rsidR="00E56AAE" w:rsidRPr="00E56AAE">
        <w:rPr>
          <w:rFonts w:ascii="Times New Roman" w:hAnsi="Times New Roman"/>
          <w:sz w:val="24"/>
        </w:rPr>
        <w:t>анятости, а плохие – ее снижают,</w:t>
      </w:r>
      <w:r w:rsidRPr="00E56AAE">
        <w:rPr>
          <w:rFonts w:ascii="Times New Roman" w:hAnsi="Times New Roman"/>
          <w:sz w:val="24"/>
        </w:rPr>
        <w:t xml:space="preserve"> </w:t>
      </w:r>
      <w:r w:rsidR="00E56AAE" w:rsidRPr="00E56AAE">
        <w:rPr>
          <w:rFonts w:ascii="Times New Roman" w:hAnsi="Times New Roman"/>
          <w:sz w:val="24"/>
        </w:rPr>
        <w:t>в</w:t>
      </w:r>
      <w:r w:rsidRPr="00E56AAE">
        <w:rPr>
          <w:rFonts w:ascii="Times New Roman" w:hAnsi="Times New Roman"/>
          <w:sz w:val="24"/>
        </w:rPr>
        <w:t>ысокая самооценка респондентами своих цифровых навыков положительно влияет и на размер заработной платы.</w:t>
      </w:r>
    </w:p>
    <w:p w14:paraId="1C4C34DA" w14:textId="77777777" w:rsidR="00B474AD" w:rsidRPr="00E56AAE" w:rsidRDefault="00B474AD" w:rsidP="00E011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56AAE">
        <w:rPr>
          <w:rFonts w:ascii="Times New Roman" w:hAnsi="Times New Roman"/>
          <w:sz w:val="24"/>
        </w:rPr>
        <w:t>Регрессионный анализ</w:t>
      </w:r>
      <w:r w:rsidR="00E56AAE" w:rsidRPr="00E56AAE">
        <w:rPr>
          <w:rFonts w:ascii="Times New Roman" w:hAnsi="Times New Roman"/>
          <w:sz w:val="24"/>
        </w:rPr>
        <w:t xml:space="preserve"> готовности пожилого населения пользоваться телемедициной</w:t>
      </w:r>
      <w:r w:rsidRPr="00E56AAE">
        <w:rPr>
          <w:rFonts w:ascii="Times New Roman" w:hAnsi="Times New Roman"/>
          <w:sz w:val="24"/>
        </w:rPr>
        <w:t xml:space="preserve"> отчасти подтвердил существующие в социологии медицины представления о предпосылках принятия телемедицины и готовности пользоваться ею, а также то, что для представителей старшего поколения телемедицина является скорее дополнением к традиционным формам организации оказания помощи, чем полноценной заменой. Наиболее сильное влияние на намерения населения старшего возраста получить телемедицинскую консультацию оказывают такие компоненты ожидаемых усилий, как опыт использования цифровых технологий, а также возможность оплатить доступ в Интернет.</w:t>
      </w:r>
      <w:r w:rsidR="00E56AAE" w:rsidRPr="00E56AAE">
        <w:rPr>
          <w:rFonts w:ascii="Times New Roman" w:hAnsi="Times New Roman"/>
          <w:sz w:val="24"/>
        </w:rPr>
        <w:t xml:space="preserve"> Неожиданным оказался результат о большей готовности лиц с ограничениями в повседневной жизни (по слуху, когнитивным способностям и по общему набору инструментальных активностей повседневной жизни (IADL)) к использованию телемедицины.</w:t>
      </w:r>
    </w:p>
    <w:p w14:paraId="32944AB1" w14:textId="7143F5FD" w:rsidR="00E56AAE" w:rsidRPr="00E56AAE" w:rsidRDefault="00E56AAE" w:rsidP="00E011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56AAE">
        <w:rPr>
          <w:rFonts w:ascii="Times New Roman" w:hAnsi="Times New Roman"/>
          <w:sz w:val="24"/>
        </w:rPr>
        <w:t xml:space="preserve">Анализ гендерных </w:t>
      </w:r>
      <w:r w:rsidR="000A4A96" w:rsidRPr="00E56AAE">
        <w:rPr>
          <w:rFonts w:ascii="Times New Roman" w:hAnsi="Times New Roman"/>
          <w:sz w:val="24"/>
        </w:rPr>
        <w:t>различи</w:t>
      </w:r>
      <w:r w:rsidR="000A4A96">
        <w:rPr>
          <w:rFonts w:ascii="Times New Roman" w:hAnsi="Times New Roman"/>
          <w:sz w:val="24"/>
        </w:rPr>
        <w:t>й</w:t>
      </w:r>
      <w:r w:rsidR="000A4A96" w:rsidRPr="00E56AAE">
        <w:rPr>
          <w:rFonts w:ascii="Times New Roman" w:hAnsi="Times New Roman"/>
          <w:sz w:val="24"/>
        </w:rPr>
        <w:t xml:space="preserve"> </w:t>
      </w:r>
      <w:r w:rsidRPr="00E56AAE">
        <w:rPr>
          <w:rFonts w:ascii="Times New Roman" w:hAnsi="Times New Roman"/>
          <w:sz w:val="24"/>
        </w:rPr>
        <w:t xml:space="preserve">в моделях карьерной мобильности в Великобритании (результаты </w:t>
      </w:r>
      <w:proofErr w:type="gramStart"/>
      <w:r w:rsidRPr="00E56AAE">
        <w:rPr>
          <w:rFonts w:ascii="Times New Roman" w:hAnsi="Times New Roman"/>
          <w:sz w:val="24"/>
        </w:rPr>
        <w:t>которого</w:t>
      </w:r>
      <w:proofErr w:type="gramEnd"/>
      <w:r w:rsidRPr="00E56AAE">
        <w:rPr>
          <w:rFonts w:ascii="Times New Roman" w:hAnsi="Times New Roman"/>
          <w:sz w:val="24"/>
        </w:rPr>
        <w:t xml:space="preserve"> применимы и в России) показал, семейные обязанности серьезно ограничивают мобильность женщин. Женщины с семейными обязанностями в меньшей степени способны использовать возможности карьерного роста и часто вынуждены мириться с потерей заработной платы, когда они меняют работодателя по семейным обстоятельствам.</w:t>
      </w:r>
    </w:p>
    <w:p w14:paraId="7E022451" w14:textId="6DC28926" w:rsidR="00E56AAE" w:rsidRDefault="00E56AAE" w:rsidP="00E011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56AAE">
        <w:rPr>
          <w:rFonts w:ascii="Times New Roman" w:hAnsi="Times New Roman"/>
          <w:sz w:val="24"/>
        </w:rPr>
        <w:t xml:space="preserve">Итоги социально-антропологического исследования материнства и заботы о детях мигранток из стран Средней Азии в России демонстрируют, что женщина-мигрант постоянно находится в поисках оптимального решения, как совместить материнство с жизнью в миграции. Транснациональное материнство (забота о детях на расстоянии) является одной из наиболее часто встречающихся стратегий в первые годы жизни в России. Вторая стратегия, которую выбирают матери – это совместное проживание в миграции с ребенком или с несколькими детьми. Интервью показывают, что в состоянии неуверенности в завтрашнем дне, отсутствии социальных программ для мигрантов, проблем, с которыми им приходится сталкиваться в повседневной жизни, семьи находятся в постоянном движении. </w:t>
      </w:r>
    </w:p>
    <w:p w14:paraId="33382439" w14:textId="01070BFB" w:rsidR="00E56AAE" w:rsidRPr="00E56AAE" w:rsidRDefault="00E56AAE" w:rsidP="00E56AA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56AAE">
        <w:rPr>
          <w:rFonts w:ascii="Times New Roman" w:hAnsi="Times New Roman"/>
          <w:sz w:val="24"/>
        </w:rPr>
        <w:t>Проделанная</w:t>
      </w:r>
      <w:r>
        <w:rPr>
          <w:rFonts w:ascii="Times New Roman" w:hAnsi="Times New Roman"/>
          <w:sz w:val="24"/>
        </w:rPr>
        <w:t xml:space="preserve"> в рамках </w:t>
      </w:r>
      <w:proofErr w:type="spellStart"/>
      <w:r>
        <w:rPr>
          <w:rFonts w:ascii="Times New Roman" w:hAnsi="Times New Roman"/>
          <w:sz w:val="24"/>
        </w:rPr>
        <w:t>прокета</w:t>
      </w:r>
      <w:proofErr w:type="spellEnd"/>
      <w:r w:rsidRPr="00E56AAE">
        <w:rPr>
          <w:rFonts w:ascii="Times New Roman" w:hAnsi="Times New Roman"/>
          <w:sz w:val="24"/>
        </w:rPr>
        <w:t xml:space="preserve"> экспертиза выявила,</w:t>
      </w:r>
      <w:r>
        <w:rPr>
          <w:rFonts w:ascii="Times New Roman" w:hAnsi="Times New Roman"/>
          <w:sz w:val="24"/>
        </w:rPr>
        <w:t xml:space="preserve"> </w:t>
      </w:r>
      <w:r w:rsidRPr="00E56AAE">
        <w:rPr>
          <w:rFonts w:ascii="Times New Roman" w:hAnsi="Times New Roman"/>
          <w:sz w:val="24"/>
        </w:rPr>
        <w:t xml:space="preserve">что кризисные явления в демографическом развитии в подавляющем большинстве субъектов Российской Федерации достигли значительных уровней в период 2013-2022 гг. При этом комплекс реализуемых с 2007 г. мер демографической политики слабо учитывает вопросы репродуктивного здоровья. В разработке мер государственного регулирования в сфере демографической безопасности государства и его субъектов практически не используются качественные показатели, характеризующие управляемые факторы риска снижения демографического потенциала, в частности, оценки популяционного уровня репродуктивного здоровья и мотивации к деторождению, гендерного дисбаланса (соотношение мальчиков и девочек среди новорожденных), а также рождения детей с ограниченными возможностями здоровья (имеющими психические и функциональные нарушения развития), которые также имеют выраженную тенденцию к увеличению, что существенно влияет на качество и устойчивость демографических процессов. </w:t>
      </w:r>
    </w:p>
    <w:p w14:paraId="0BD26EA9" w14:textId="77777777" w:rsidR="008744D7" w:rsidRPr="00994733" w:rsidRDefault="004A533A" w:rsidP="00A27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94733">
        <w:rPr>
          <w:rFonts w:ascii="Times New Roman" w:hAnsi="Times New Roman"/>
          <w:b/>
          <w:sz w:val="24"/>
        </w:rPr>
        <w:t>Степень внедрения, рекомендации по внедрению или итоги внедрения результатов НИР:</w:t>
      </w:r>
    </w:p>
    <w:p w14:paraId="22EBF59B" w14:textId="5B3BC1B7" w:rsidR="000E50B2" w:rsidRPr="00994733" w:rsidRDefault="00FD77F4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94733">
        <w:rPr>
          <w:rFonts w:ascii="Times New Roman" w:hAnsi="Times New Roman"/>
          <w:sz w:val="24"/>
        </w:rPr>
        <w:lastRenderedPageBreak/>
        <w:t>Результаты исследования были представлены на научных и научно-практических мероприятиях, в том числе международных – в России,</w:t>
      </w:r>
      <w:r w:rsidR="00994733" w:rsidRPr="00994733">
        <w:rPr>
          <w:rFonts w:ascii="Times New Roman" w:hAnsi="Times New Roman"/>
          <w:sz w:val="24"/>
        </w:rPr>
        <w:t xml:space="preserve"> Дании, Узбекистане</w:t>
      </w:r>
      <w:r w:rsidRPr="00994733">
        <w:rPr>
          <w:rFonts w:ascii="Times New Roman" w:hAnsi="Times New Roman"/>
          <w:sz w:val="24"/>
        </w:rPr>
        <w:t>. По результатам и</w:t>
      </w:r>
      <w:r w:rsidR="00994733" w:rsidRPr="00994733">
        <w:rPr>
          <w:rFonts w:ascii="Times New Roman" w:hAnsi="Times New Roman"/>
          <w:sz w:val="24"/>
        </w:rPr>
        <w:t>сследования было подготовлено 13 научных публикации, в том числе 9</w:t>
      </w:r>
      <w:r w:rsidRPr="00994733">
        <w:rPr>
          <w:rFonts w:ascii="Times New Roman" w:hAnsi="Times New Roman"/>
          <w:sz w:val="24"/>
        </w:rPr>
        <w:t xml:space="preserve"> – статей в журналах, индексируемых в </w:t>
      </w:r>
      <w:proofErr w:type="spellStart"/>
      <w:r w:rsidRPr="00994733">
        <w:rPr>
          <w:rFonts w:ascii="Times New Roman" w:hAnsi="Times New Roman"/>
          <w:sz w:val="24"/>
        </w:rPr>
        <w:t>WoS</w:t>
      </w:r>
      <w:proofErr w:type="spellEnd"/>
      <w:r w:rsidRPr="00994733">
        <w:rPr>
          <w:rFonts w:ascii="Times New Roman" w:hAnsi="Times New Roman"/>
          <w:sz w:val="24"/>
        </w:rPr>
        <w:t xml:space="preserve"> и </w:t>
      </w:r>
      <w:proofErr w:type="spellStart"/>
      <w:r w:rsidRPr="00994733">
        <w:rPr>
          <w:rFonts w:ascii="Times New Roman" w:hAnsi="Times New Roman"/>
          <w:sz w:val="24"/>
        </w:rPr>
        <w:t>Scopus</w:t>
      </w:r>
      <w:proofErr w:type="spellEnd"/>
      <w:r w:rsidRPr="00994733">
        <w:rPr>
          <w:rFonts w:ascii="Times New Roman" w:hAnsi="Times New Roman"/>
          <w:sz w:val="24"/>
        </w:rPr>
        <w:t xml:space="preserve">. </w:t>
      </w:r>
      <w:r w:rsidR="000E50B2" w:rsidRPr="00994733">
        <w:rPr>
          <w:rFonts w:ascii="Times New Roman" w:hAnsi="Times New Roman"/>
          <w:sz w:val="24"/>
        </w:rPr>
        <w:t>Отдельные результаты исследования были использованы при подготовке в 202</w:t>
      </w:r>
      <w:r w:rsidR="00994733" w:rsidRPr="00994733">
        <w:rPr>
          <w:rFonts w:ascii="Times New Roman" w:hAnsi="Times New Roman"/>
          <w:sz w:val="24"/>
        </w:rPr>
        <w:t>2</w:t>
      </w:r>
      <w:r w:rsidR="000E50B2" w:rsidRPr="00994733">
        <w:rPr>
          <w:rFonts w:ascii="Times New Roman" w:hAnsi="Times New Roman"/>
          <w:sz w:val="24"/>
        </w:rPr>
        <w:t xml:space="preserve"> г. аналитических записок и экспертных заключений, направлявшихся в Правительство России и федеральные органы исполнительной власти.</w:t>
      </w:r>
    </w:p>
    <w:p w14:paraId="5139F53A" w14:textId="77777777" w:rsidR="00387224" w:rsidRPr="00F6367E" w:rsidRDefault="00A27D6C" w:rsidP="00F6367E">
      <w:pPr>
        <w:pStyle w:val="a8"/>
        <w:ind w:firstLine="709"/>
        <w:outlineLvl w:val="0"/>
        <w:rPr>
          <w:sz w:val="24"/>
          <w:szCs w:val="24"/>
        </w:rPr>
      </w:pPr>
      <w:r w:rsidRPr="004F5E54">
        <w:rPr>
          <w:b/>
          <w:sz w:val="24"/>
          <w:szCs w:val="24"/>
        </w:rPr>
        <w:t>Область применения</w:t>
      </w:r>
      <w:r w:rsidRPr="004F5E54">
        <w:rPr>
          <w:sz w:val="24"/>
          <w:szCs w:val="24"/>
        </w:rPr>
        <w:t xml:space="preserve">: </w:t>
      </w:r>
      <w:r w:rsidR="007E030F" w:rsidRPr="004F5E54">
        <w:rPr>
          <w:sz w:val="24"/>
          <w:szCs w:val="24"/>
        </w:rPr>
        <w:t>Резуль</w:t>
      </w:r>
      <w:bookmarkStart w:id="0" w:name="_GoBack"/>
      <w:bookmarkEnd w:id="0"/>
      <w:r w:rsidR="007E030F" w:rsidRPr="004F5E54">
        <w:rPr>
          <w:sz w:val="24"/>
          <w:szCs w:val="24"/>
        </w:rPr>
        <w:t>таты данной работы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мер социальной,</w:t>
      </w:r>
      <w:r w:rsidR="004F5E54" w:rsidRPr="004F5E54">
        <w:rPr>
          <w:sz w:val="24"/>
          <w:szCs w:val="24"/>
        </w:rPr>
        <w:t xml:space="preserve"> демографической, миграционной,</w:t>
      </w:r>
      <w:r w:rsidR="007E030F" w:rsidRPr="004F5E54">
        <w:rPr>
          <w:sz w:val="24"/>
          <w:szCs w:val="24"/>
        </w:rPr>
        <w:t xml:space="preserve"> налоговой и экономической политики и оценки их эффективности, в частности – в работе Министерства труда и социальной защиты РФ, Министерства экономического развития РФ, Министерства финансов РФ, Министерства здравоохранения РФ, Счетной палаты и Росстата</w:t>
      </w:r>
      <w:r w:rsidR="00F6367E" w:rsidRPr="004F5E54">
        <w:rPr>
          <w:sz w:val="24"/>
          <w:szCs w:val="24"/>
        </w:rPr>
        <w:t>.</w:t>
      </w:r>
    </w:p>
    <w:sectPr w:rsidR="00387224" w:rsidRPr="00F6367E" w:rsidSect="001312C0">
      <w:footerReference w:type="default" r:id="rId11"/>
      <w:pgSz w:w="12240" w:h="15840"/>
      <w:pgMar w:top="1134" w:right="850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29DE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29DEF8" w16cid:durableId="2733A3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1F54" w14:textId="77777777" w:rsidR="00132114" w:rsidRDefault="00132114" w:rsidP="00A27D6C">
      <w:pPr>
        <w:spacing w:after="0" w:line="240" w:lineRule="auto"/>
      </w:pPr>
      <w:r>
        <w:separator/>
      </w:r>
    </w:p>
  </w:endnote>
  <w:endnote w:type="continuationSeparator" w:id="0">
    <w:p w14:paraId="4C1286FF" w14:textId="77777777" w:rsidR="00132114" w:rsidRDefault="00132114" w:rsidP="00A27D6C">
      <w:pPr>
        <w:spacing w:after="0" w:line="240" w:lineRule="auto"/>
      </w:pPr>
      <w:r>
        <w:continuationSeparator/>
      </w:r>
    </w:p>
  </w:endnote>
  <w:endnote w:type="continuationNotice" w:id="1">
    <w:p w14:paraId="75707E5D" w14:textId="77777777" w:rsidR="00132114" w:rsidRDefault="00132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E7FD" w14:textId="77777777" w:rsidR="00A27D6C" w:rsidRPr="00A27D6C" w:rsidRDefault="001312C0" w:rsidP="00A27D6C">
    <w:pPr>
      <w:pStyle w:val="a6"/>
      <w:jc w:val="center"/>
      <w:rPr>
        <w:rFonts w:ascii="Times New Roman" w:hAnsi="Times New Roman"/>
        <w:sz w:val="24"/>
      </w:rPr>
    </w:pPr>
    <w:r w:rsidRPr="00A27D6C">
      <w:rPr>
        <w:rFonts w:ascii="Times New Roman" w:hAnsi="Times New Roman"/>
        <w:sz w:val="24"/>
      </w:rPr>
      <w:fldChar w:fldCharType="begin"/>
    </w:r>
    <w:r w:rsidR="00A27D6C" w:rsidRPr="00A27D6C">
      <w:rPr>
        <w:rFonts w:ascii="Times New Roman" w:hAnsi="Times New Roman"/>
        <w:sz w:val="24"/>
      </w:rPr>
      <w:instrText>PAGE   \* MERGEFORMAT</w:instrText>
    </w:r>
    <w:r w:rsidRPr="00A27D6C">
      <w:rPr>
        <w:rFonts w:ascii="Times New Roman" w:hAnsi="Times New Roman"/>
        <w:sz w:val="24"/>
      </w:rPr>
      <w:fldChar w:fldCharType="separate"/>
    </w:r>
    <w:r w:rsidR="00994733">
      <w:rPr>
        <w:rFonts w:ascii="Times New Roman" w:hAnsi="Times New Roman"/>
        <w:noProof/>
        <w:sz w:val="24"/>
      </w:rPr>
      <w:t>1</w:t>
    </w:r>
    <w:r w:rsidRPr="00A27D6C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E5129" w14:textId="77777777" w:rsidR="00132114" w:rsidRDefault="00132114" w:rsidP="00A27D6C">
      <w:pPr>
        <w:spacing w:after="0" w:line="240" w:lineRule="auto"/>
      </w:pPr>
      <w:r>
        <w:separator/>
      </w:r>
    </w:p>
  </w:footnote>
  <w:footnote w:type="continuationSeparator" w:id="0">
    <w:p w14:paraId="26A0B270" w14:textId="77777777" w:rsidR="00132114" w:rsidRDefault="00132114" w:rsidP="00A27D6C">
      <w:pPr>
        <w:spacing w:after="0" w:line="240" w:lineRule="auto"/>
      </w:pPr>
      <w:r>
        <w:continuationSeparator/>
      </w:r>
    </w:p>
  </w:footnote>
  <w:footnote w:type="continuationNotice" w:id="1">
    <w:p w14:paraId="1F7E349D" w14:textId="77777777" w:rsidR="00132114" w:rsidRDefault="001321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29F"/>
    <w:multiLevelType w:val="hybridMultilevel"/>
    <w:tmpl w:val="067AC1DE"/>
    <w:lvl w:ilvl="0" w:tplc="A0BCB7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17442DB"/>
    <w:multiLevelType w:val="hybridMultilevel"/>
    <w:tmpl w:val="25685566"/>
    <w:lvl w:ilvl="0" w:tplc="66844A6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61DF"/>
    <w:multiLevelType w:val="hybridMultilevel"/>
    <w:tmpl w:val="F4A4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058"/>
    <w:multiLevelType w:val="hybridMultilevel"/>
    <w:tmpl w:val="9BB2A2EE"/>
    <w:lvl w:ilvl="0" w:tplc="66844A6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xana Sinyavskaya">
    <w15:presenceInfo w15:providerId="None" w15:userId="Oxana Sinyavsk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TI0MzMytzA1NTJQ0lEKTi0uzszPAykwrgUAt1qwXiwAAAA="/>
  </w:docVars>
  <w:rsids>
    <w:rsidRoot w:val="004D1326"/>
    <w:rsid w:val="00083E46"/>
    <w:rsid w:val="00096626"/>
    <w:rsid w:val="000A4A96"/>
    <w:rsid w:val="000B07E4"/>
    <w:rsid w:val="000E50B2"/>
    <w:rsid w:val="00112453"/>
    <w:rsid w:val="00130292"/>
    <w:rsid w:val="001312C0"/>
    <w:rsid w:val="00131CAC"/>
    <w:rsid w:val="00132114"/>
    <w:rsid w:val="00134CEC"/>
    <w:rsid w:val="00170D6D"/>
    <w:rsid w:val="001753D1"/>
    <w:rsid w:val="001803EC"/>
    <w:rsid w:val="00184110"/>
    <w:rsid w:val="001E1C82"/>
    <w:rsid w:val="00202AFE"/>
    <w:rsid w:val="00215BF9"/>
    <w:rsid w:val="00225938"/>
    <w:rsid w:val="00227BFF"/>
    <w:rsid w:val="00233C39"/>
    <w:rsid w:val="002353C8"/>
    <w:rsid w:val="00240074"/>
    <w:rsid w:val="002472AA"/>
    <w:rsid w:val="00271671"/>
    <w:rsid w:val="003076C7"/>
    <w:rsid w:val="00317B6F"/>
    <w:rsid w:val="0033408E"/>
    <w:rsid w:val="003850B7"/>
    <w:rsid w:val="00387224"/>
    <w:rsid w:val="003C2D1A"/>
    <w:rsid w:val="003F2F4D"/>
    <w:rsid w:val="00422419"/>
    <w:rsid w:val="004726E4"/>
    <w:rsid w:val="00486CFB"/>
    <w:rsid w:val="004A460B"/>
    <w:rsid w:val="004A533A"/>
    <w:rsid w:val="004B1E42"/>
    <w:rsid w:val="004D1326"/>
    <w:rsid w:val="004F5E54"/>
    <w:rsid w:val="005843D3"/>
    <w:rsid w:val="005F303A"/>
    <w:rsid w:val="006A560D"/>
    <w:rsid w:val="006F522E"/>
    <w:rsid w:val="00712E20"/>
    <w:rsid w:val="00747620"/>
    <w:rsid w:val="0078561C"/>
    <w:rsid w:val="00794CA3"/>
    <w:rsid w:val="007B3CB4"/>
    <w:rsid w:val="007E030F"/>
    <w:rsid w:val="0080615F"/>
    <w:rsid w:val="008744D7"/>
    <w:rsid w:val="00876389"/>
    <w:rsid w:val="008E5D7D"/>
    <w:rsid w:val="00967DBD"/>
    <w:rsid w:val="00994733"/>
    <w:rsid w:val="00994B0B"/>
    <w:rsid w:val="009955F3"/>
    <w:rsid w:val="009E19E4"/>
    <w:rsid w:val="00A27D6C"/>
    <w:rsid w:val="00A55A21"/>
    <w:rsid w:val="00A57CFA"/>
    <w:rsid w:val="00A60CCA"/>
    <w:rsid w:val="00A766CE"/>
    <w:rsid w:val="00AF0CCD"/>
    <w:rsid w:val="00B474AD"/>
    <w:rsid w:val="00BE5F5F"/>
    <w:rsid w:val="00BF11F6"/>
    <w:rsid w:val="00BF53C6"/>
    <w:rsid w:val="00C23DAE"/>
    <w:rsid w:val="00C47FFA"/>
    <w:rsid w:val="00C812C2"/>
    <w:rsid w:val="00CD08B7"/>
    <w:rsid w:val="00CE04DE"/>
    <w:rsid w:val="00CE65B7"/>
    <w:rsid w:val="00D30D29"/>
    <w:rsid w:val="00D75C16"/>
    <w:rsid w:val="00DC4C85"/>
    <w:rsid w:val="00E011D1"/>
    <w:rsid w:val="00E16EBE"/>
    <w:rsid w:val="00E2058D"/>
    <w:rsid w:val="00E27F59"/>
    <w:rsid w:val="00E56AAE"/>
    <w:rsid w:val="00E95C91"/>
    <w:rsid w:val="00EC12B2"/>
    <w:rsid w:val="00F20AD8"/>
    <w:rsid w:val="00F33212"/>
    <w:rsid w:val="00F6367E"/>
    <w:rsid w:val="00F6413B"/>
    <w:rsid w:val="00F81419"/>
    <w:rsid w:val="00F8403B"/>
    <w:rsid w:val="00F86655"/>
    <w:rsid w:val="00F86A66"/>
    <w:rsid w:val="00F95B38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C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D1326"/>
    <w:pPr>
      <w:widowControl w:val="0"/>
      <w:autoSpaceDE w:val="0"/>
      <w:autoSpaceDN w:val="0"/>
    </w:pPr>
    <w:rPr>
      <w:rFonts w:ascii="NTTimes/Cyrillic" w:eastAsia="Times New Roman" w:hAnsi="NTTimes/Cyrillic"/>
    </w:rPr>
  </w:style>
  <w:style w:type="paragraph" w:styleId="a4">
    <w:name w:val="header"/>
    <w:basedOn w:val="a"/>
    <w:link w:val="a5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D6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7D6C"/>
    <w:rPr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A27D6C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27D6C"/>
    <w:rPr>
      <w:rFonts w:ascii="Times New Roman" w:eastAsia="Times New Roman" w:hAnsi="Times New Roman"/>
    </w:rPr>
  </w:style>
  <w:style w:type="character" w:styleId="aa">
    <w:name w:val="annotation reference"/>
    <w:uiPriority w:val="99"/>
    <w:semiHidden/>
    <w:unhideWhenUsed/>
    <w:rsid w:val="00F840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8403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8403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403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8403B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8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8403B"/>
    <w:rPr>
      <w:rFonts w:ascii="Segoe UI" w:hAnsi="Segoe UI" w:cs="Segoe UI"/>
      <w:sz w:val="18"/>
      <w:szCs w:val="18"/>
      <w:lang w:eastAsia="en-US"/>
    </w:rPr>
  </w:style>
  <w:style w:type="paragraph" w:customStyle="1" w:styleId="123">
    <w:name w:val="123_текст"/>
    <w:basedOn w:val="a"/>
    <w:link w:val="1230"/>
    <w:qFormat/>
    <w:rsid w:val="009E19E4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230">
    <w:name w:val="123_текст Знак"/>
    <w:link w:val="123"/>
    <w:locked/>
    <w:rsid w:val="009E19E4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D1326"/>
    <w:pPr>
      <w:widowControl w:val="0"/>
      <w:autoSpaceDE w:val="0"/>
      <w:autoSpaceDN w:val="0"/>
    </w:pPr>
    <w:rPr>
      <w:rFonts w:ascii="NTTimes/Cyrillic" w:eastAsia="Times New Roman" w:hAnsi="NTTimes/Cyrillic"/>
    </w:rPr>
  </w:style>
  <w:style w:type="paragraph" w:styleId="a4">
    <w:name w:val="header"/>
    <w:basedOn w:val="a"/>
    <w:link w:val="a5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D6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7D6C"/>
    <w:rPr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A27D6C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27D6C"/>
    <w:rPr>
      <w:rFonts w:ascii="Times New Roman" w:eastAsia="Times New Roman" w:hAnsi="Times New Roman"/>
    </w:rPr>
  </w:style>
  <w:style w:type="character" w:styleId="aa">
    <w:name w:val="annotation reference"/>
    <w:uiPriority w:val="99"/>
    <w:semiHidden/>
    <w:unhideWhenUsed/>
    <w:rsid w:val="00F840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8403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8403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403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8403B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8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8403B"/>
    <w:rPr>
      <w:rFonts w:ascii="Segoe UI" w:hAnsi="Segoe UI" w:cs="Segoe UI"/>
      <w:sz w:val="18"/>
      <w:szCs w:val="18"/>
      <w:lang w:eastAsia="en-US"/>
    </w:rPr>
  </w:style>
  <w:style w:type="paragraph" w:customStyle="1" w:styleId="123">
    <w:name w:val="123_текст"/>
    <w:basedOn w:val="a"/>
    <w:link w:val="1230"/>
    <w:qFormat/>
    <w:rsid w:val="009E19E4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230">
    <w:name w:val="123_текст Знак"/>
    <w:link w:val="123"/>
    <w:locked/>
    <w:rsid w:val="009E19E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48534BB51FC440962E07CC678D8C96" ma:contentTypeVersion="4" ma:contentTypeDescription="Создание документа." ma:contentTypeScope="" ma:versionID="0991747901334f30cc76c3c836313b8a">
  <xsd:schema xmlns:xsd="http://www.w3.org/2001/XMLSchema" xmlns:xs="http://www.w3.org/2001/XMLSchema" xmlns:p="http://schemas.microsoft.com/office/2006/metadata/properties" xmlns:ns2="9aa8f59b-79f4-479e-aea3-270cdedd7bef" targetNamespace="http://schemas.microsoft.com/office/2006/metadata/properties" ma:root="true" ma:fieldsID="a6d9a8bc9fd685ed644068d8c4a28f61" ns2:_="">
    <xsd:import namespace="9aa8f59b-79f4-479e-aea3-270cdedd7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f59b-79f4-479e-aea3-270cdedd7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D7A14-BAB2-4DBF-8A55-C7B348B8F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8f59b-79f4-479e-aea3-270cdedd7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29A99-6C71-442E-80D2-AF311E563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D4FFC-1313-43F2-A0B1-45B19BF4B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aaerm</dc:creator>
  <cp:lastModifiedBy>Пользователь Windows</cp:lastModifiedBy>
  <cp:revision>2</cp:revision>
  <dcterms:created xsi:type="dcterms:W3CDTF">2022-12-01T20:28:00Z</dcterms:created>
  <dcterms:modified xsi:type="dcterms:W3CDTF">2022-12-01T20:28:00Z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sChannelId">
    <vt:lpwstr/>
  </property>
  <property fmtid="{D5CDD505-2E9C-101B-9397-08002B2CF9AE}" pid="3" name="FolderType">
    <vt:lpwstr/>
  </property>
  <property fmtid="{D5CDD505-2E9C-101B-9397-08002B2CF9AE}" pid="4" name="CultureName">
    <vt:lpwstr/>
  </property>
  <property fmtid="{D5CDD505-2E9C-101B-9397-08002B2CF9AE}" pid="5" name="AppVersion">
    <vt:lpwstr/>
  </property>
  <property fmtid="{D5CDD505-2E9C-101B-9397-08002B2CF9AE}" pid="6" name="NotebookType">
    <vt:lpwstr/>
  </property>
</Properties>
</file>