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7A" w:rsidRPr="00CC3BC0" w:rsidRDefault="0032047A" w:rsidP="0032047A">
      <w:pPr>
        <w:pStyle w:val="a3"/>
        <w:widowControl/>
        <w:tabs>
          <w:tab w:val="left" w:pos="360"/>
        </w:tabs>
        <w:jc w:val="center"/>
        <w:rPr>
          <w:rFonts w:asciiTheme="minorHAnsi" w:hAnsiTheme="minorHAnsi"/>
          <w:b/>
          <w:sz w:val="26"/>
          <w:szCs w:val="26"/>
        </w:rPr>
      </w:pPr>
      <w:r>
        <w:rPr>
          <w:rFonts w:ascii="Times New Roman" w:hAnsi="Times New Roman"/>
          <w:b/>
          <w:sz w:val="26"/>
          <w:szCs w:val="26"/>
        </w:rPr>
        <w:t>Аннотация</w:t>
      </w:r>
    </w:p>
    <w:p w:rsidR="0032047A" w:rsidRPr="00D23A87" w:rsidRDefault="0032047A" w:rsidP="0032047A">
      <w:pPr>
        <w:pStyle w:val="a3"/>
        <w:widowControl/>
        <w:tabs>
          <w:tab w:val="left" w:pos="360"/>
        </w:tabs>
        <w:jc w:val="center"/>
        <w:rPr>
          <w:rFonts w:ascii="Times New Roman" w:hAnsi="Times New Roman"/>
          <w:b/>
          <w:sz w:val="26"/>
          <w:szCs w:val="26"/>
        </w:rPr>
      </w:pPr>
      <w:r w:rsidRPr="0057407C">
        <w:rPr>
          <w:rFonts w:ascii="Times New Roman" w:hAnsi="Times New Roman"/>
          <w:b/>
          <w:sz w:val="26"/>
          <w:szCs w:val="26"/>
        </w:rPr>
        <w:t>ТЗ-</w:t>
      </w:r>
      <w:r>
        <w:rPr>
          <w:rFonts w:ascii="Times New Roman" w:hAnsi="Times New Roman"/>
          <w:b/>
          <w:sz w:val="26"/>
          <w:szCs w:val="26"/>
        </w:rPr>
        <w:t>141</w:t>
      </w:r>
    </w:p>
    <w:p w:rsidR="0032047A" w:rsidRPr="00F534AE" w:rsidRDefault="0032047A" w:rsidP="0032047A">
      <w:pPr>
        <w:pStyle w:val="a3"/>
        <w:widowControl/>
        <w:tabs>
          <w:tab w:val="left" w:pos="360"/>
        </w:tabs>
        <w:rPr>
          <w:rFonts w:asciiTheme="minorHAnsi" w:hAnsiTheme="minorHAnsi"/>
          <w:b/>
          <w:sz w:val="10"/>
          <w:szCs w:val="10"/>
        </w:rPr>
      </w:pPr>
    </w:p>
    <w:p w:rsidR="0032047A" w:rsidRPr="00EB3FD7" w:rsidRDefault="0032047A" w:rsidP="0032047A">
      <w:pPr>
        <w:pStyle w:val="a3"/>
        <w:tabs>
          <w:tab w:val="left" w:pos="360"/>
        </w:tabs>
        <w:rPr>
          <w:rFonts w:ascii="Times New Roman" w:hAnsi="Times New Roman"/>
          <w:sz w:val="24"/>
          <w:szCs w:val="24"/>
        </w:rPr>
      </w:pPr>
      <w:r w:rsidRPr="00CF7F74">
        <w:rPr>
          <w:rFonts w:ascii="Times New Roman" w:hAnsi="Times New Roman"/>
          <w:sz w:val="24"/>
          <w:szCs w:val="24"/>
        </w:rPr>
        <w:t xml:space="preserve">Тема: </w:t>
      </w:r>
      <w:r>
        <w:rPr>
          <w:rFonts w:ascii="Times New Roman" w:hAnsi="Times New Roman"/>
          <w:sz w:val="24"/>
          <w:szCs w:val="24"/>
        </w:rPr>
        <w:t>«М</w:t>
      </w:r>
      <w:r w:rsidRPr="0032047A">
        <w:rPr>
          <w:rFonts w:ascii="Times New Roman" w:hAnsi="Times New Roman"/>
          <w:sz w:val="24"/>
          <w:szCs w:val="24"/>
        </w:rPr>
        <w:t xml:space="preserve">ониторинг социальной устойчивости и склонности </w:t>
      </w:r>
      <w:r>
        <w:rPr>
          <w:rFonts w:ascii="Times New Roman" w:hAnsi="Times New Roman"/>
          <w:sz w:val="24"/>
          <w:szCs w:val="24"/>
        </w:rPr>
        <w:t>н</w:t>
      </w:r>
      <w:r w:rsidRPr="0032047A">
        <w:rPr>
          <w:rFonts w:ascii="Times New Roman" w:hAnsi="Times New Roman"/>
          <w:sz w:val="24"/>
          <w:szCs w:val="24"/>
        </w:rPr>
        <w:t>аселения к изменениям</w:t>
      </w:r>
      <w:r w:rsidRPr="00EB3FD7">
        <w:rPr>
          <w:rFonts w:ascii="Times New Roman" w:hAnsi="Times New Roman"/>
          <w:sz w:val="24"/>
          <w:szCs w:val="24"/>
        </w:rPr>
        <w:t>»</w:t>
      </w:r>
    </w:p>
    <w:p w:rsidR="0032047A" w:rsidRDefault="0032047A" w:rsidP="0032047A">
      <w:pPr>
        <w:pStyle w:val="a3"/>
        <w:widowControl/>
        <w:tabs>
          <w:tab w:val="left" w:pos="360"/>
        </w:tabs>
        <w:jc w:val="both"/>
        <w:rPr>
          <w:rFonts w:ascii="Times New Roman" w:hAnsi="Times New Roman"/>
          <w:sz w:val="24"/>
          <w:szCs w:val="24"/>
        </w:rPr>
      </w:pPr>
      <w:r w:rsidRPr="00CF7F74">
        <w:rPr>
          <w:rFonts w:ascii="Times New Roman" w:hAnsi="Times New Roman"/>
          <w:sz w:val="24"/>
          <w:szCs w:val="24"/>
        </w:rPr>
        <w:t>Руководитель</w:t>
      </w:r>
      <w:r>
        <w:rPr>
          <w:rFonts w:ascii="Times New Roman" w:hAnsi="Times New Roman"/>
          <w:sz w:val="24"/>
          <w:szCs w:val="24"/>
        </w:rPr>
        <w:t xml:space="preserve">: Пишняк Алина Игоревна, </w:t>
      </w:r>
      <w:r w:rsidRPr="00D23A87">
        <w:rPr>
          <w:rFonts w:ascii="Times New Roman" w:hAnsi="Times New Roman"/>
          <w:sz w:val="24"/>
          <w:szCs w:val="24"/>
        </w:rPr>
        <w:t xml:space="preserve">Шишкин </w:t>
      </w:r>
      <w:r>
        <w:rPr>
          <w:rFonts w:ascii="Times New Roman" w:hAnsi="Times New Roman"/>
          <w:sz w:val="24"/>
          <w:szCs w:val="24"/>
        </w:rPr>
        <w:t xml:space="preserve">Сергей Владимирович, </w:t>
      </w:r>
      <w:r w:rsidRPr="00D23A87">
        <w:rPr>
          <w:rFonts w:ascii="Times New Roman" w:hAnsi="Times New Roman"/>
          <w:sz w:val="24"/>
          <w:szCs w:val="24"/>
        </w:rPr>
        <w:t xml:space="preserve">Фрумин </w:t>
      </w:r>
      <w:r>
        <w:rPr>
          <w:rFonts w:ascii="Times New Roman" w:hAnsi="Times New Roman"/>
          <w:sz w:val="24"/>
          <w:szCs w:val="24"/>
        </w:rPr>
        <w:t>Исаак Давидович</w:t>
      </w:r>
    </w:p>
    <w:p w:rsidR="0032047A" w:rsidRDefault="0032047A" w:rsidP="0032047A">
      <w:pPr>
        <w:pStyle w:val="a3"/>
        <w:widowControl/>
        <w:tabs>
          <w:tab w:val="left" w:pos="360"/>
        </w:tabs>
        <w:jc w:val="both"/>
        <w:rPr>
          <w:rFonts w:ascii="Times New Roman" w:hAnsi="Times New Roman"/>
          <w:sz w:val="24"/>
          <w:szCs w:val="24"/>
        </w:rPr>
      </w:pPr>
      <w:r>
        <w:rPr>
          <w:rFonts w:ascii="Times New Roman" w:hAnsi="Times New Roman"/>
          <w:sz w:val="24"/>
          <w:szCs w:val="24"/>
        </w:rPr>
        <w:t>Наименование подразделения: Институт социальной политики</w:t>
      </w:r>
    </w:p>
    <w:p w:rsidR="00D548DB" w:rsidRDefault="00D548DB" w:rsidP="00D548DB">
      <w:pPr>
        <w:pStyle w:val="a4"/>
        <w:ind w:firstLine="0"/>
        <w:rPr>
          <w:b/>
          <w:sz w:val="24"/>
          <w:szCs w:val="24"/>
        </w:rPr>
      </w:pPr>
    </w:p>
    <w:p w:rsidR="00D548DB" w:rsidRDefault="00D548DB" w:rsidP="00D548DB">
      <w:pPr>
        <w:pStyle w:val="a4"/>
        <w:ind w:firstLine="0"/>
        <w:rPr>
          <w:sz w:val="24"/>
          <w:szCs w:val="24"/>
        </w:rPr>
      </w:pPr>
      <w:r w:rsidRPr="00AA71F5">
        <w:rPr>
          <w:b/>
          <w:sz w:val="24"/>
          <w:szCs w:val="24"/>
        </w:rPr>
        <w:t xml:space="preserve">Объектом исследования </w:t>
      </w:r>
      <w:r w:rsidRPr="00AA71F5">
        <w:rPr>
          <w:sz w:val="24"/>
          <w:szCs w:val="24"/>
        </w:rPr>
        <w:t>является</w:t>
      </w:r>
      <w:r>
        <w:rPr>
          <w:sz w:val="24"/>
          <w:szCs w:val="24"/>
        </w:rPr>
        <w:t xml:space="preserve"> население России</w:t>
      </w:r>
      <w:r w:rsidRPr="00AA71F5">
        <w:rPr>
          <w:sz w:val="24"/>
          <w:szCs w:val="24"/>
        </w:rPr>
        <w:t>.</w:t>
      </w:r>
    </w:p>
    <w:p w:rsidR="00D548DB" w:rsidRPr="00176C7C" w:rsidRDefault="00D548DB" w:rsidP="00D548DB">
      <w:pPr>
        <w:pStyle w:val="a4"/>
        <w:numPr>
          <w:ilvl w:val="0"/>
          <w:numId w:val="1"/>
        </w:numPr>
        <w:spacing w:after="240"/>
        <w:ind w:left="0" w:firstLine="0"/>
        <w:rPr>
          <w:sz w:val="24"/>
          <w:szCs w:val="24"/>
        </w:rPr>
      </w:pPr>
      <w:r w:rsidRPr="00D548DB">
        <w:rPr>
          <w:b/>
          <w:sz w:val="24"/>
          <w:szCs w:val="24"/>
        </w:rPr>
        <w:t xml:space="preserve">Цель работы: </w:t>
      </w:r>
      <w:r w:rsidRPr="00D548DB">
        <w:rPr>
          <w:sz w:val="24"/>
          <w:szCs w:val="24"/>
        </w:rPr>
        <w:t xml:space="preserve">определить отношение населения к фактическим и потенциальным </w:t>
      </w:r>
      <w:r w:rsidRPr="00176C7C">
        <w:rPr>
          <w:sz w:val="24"/>
          <w:szCs w:val="24"/>
        </w:rPr>
        <w:t>изменениям, связанным с образованием, здравоохранением и социальной поддержкой в Российской Федерации, представления россиян о роли государства и выявить решения, работающие на сохранение социальной устойчивости в стране</w:t>
      </w:r>
      <w:r w:rsidRPr="00176C7C">
        <w:rPr>
          <w:b/>
          <w:sz w:val="24"/>
          <w:szCs w:val="24"/>
        </w:rPr>
        <w:t>.</w:t>
      </w:r>
    </w:p>
    <w:p w:rsidR="00E672D8" w:rsidRPr="00176C7C" w:rsidRDefault="00D548DB" w:rsidP="00E672D8">
      <w:pPr>
        <w:pStyle w:val="a4"/>
        <w:numPr>
          <w:ilvl w:val="0"/>
          <w:numId w:val="1"/>
        </w:numPr>
        <w:spacing w:after="240"/>
        <w:ind w:left="0" w:firstLine="0"/>
        <w:rPr>
          <w:sz w:val="24"/>
          <w:szCs w:val="24"/>
        </w:rPr>
      </w:pPr>
      <w:r w:rsidRPr="00176C7C">
        <w:rPr>
          <w:b/>
          <w:sz w:val="24"/>
          <w:szCs w:val="24"/>
        </w:rPr>
        <w:t>Используемые методы:</w:t>
      </w:r>
      <w:r w:rsidRPr="00176C7C">
        <w:rPr>
          <w:sz w:val="24"/>
          <w:szCs w:val="24"/>
        </w:rPr>
        <w:t xml:space="preserve"> </w:t>
      </w:r>
      <w:r w:rsidR="00E672D8" w:rsidRPr="00176C7C">
        <w:rPr>
          <w:sz w:val="24"/>
          <w:szCs w:val="24"/>
        </w:rPr>
        <w:t xml:space="preserve">количественный </w:t>
      </w:r>
      <w:r w:rsidR="000F1ED8" w:rsidRPr="00176C7C">
        <w:rPr>
          <w:sz w:val="24"/>
          <w:szCs w:val="24"/>
        </w:rPr>
        <w:t>анализ данных опросов населения,</w:t>
      </w:r>
      <w:r w:rsidR="00E672D8" w:rsidRPr="00176C7C">
        <w:rPr>
          <w:sz w:val="24"/>
          <w:szCs w:val="24"/>
        </w:rPr>
        <w:t xml:space="preserve"> качественный анализ данных фокус-групп, анализ открытых данных Федеральной службы государственной статистики и Министерства Финансов РФ, систематизация и анализ материалов исследований по вопросам образования и здравоохранения.</w:t>
      </w:r>
    </w:p>
    <w:p w:rsidR="00090C93" w:rsidRPr="00090C93" w:rsidRDefault="009E3B78" w:rsidP="00090C93">
      <w:pPr>
        <w:pStyle w:val="a4"/>
        <w:numPr>
          <w:ilvl w:val="0"/>
          <w:numId w:val="1"/>
        </w:numPr>
        <w:spacing w:after="240"/>
        <w:ind w:left="0" w:firstLine="0"/>
        <w:rPr>
          <w:sz w:val="24"/>
          <w:szCs w:val="24"/>
        </w:rPr>
      </w:pPr>
      <w:r w:rsidRPr="00176C7C">
        <w:rPr>
          <w:b/>
          <w:sz w:val="24"/>
          <w:szCs w:val="24"/>
        </w:rPr>
        <w:t>Эмпирическая база исследования:</w:t>
      </w:r>
      <w:r w:rsidRPr="00176C7C">
        <w:rPr>
          <w:sz w:val="24"/>
          <w:szCs w:val="24"/>
        </w:rPr>
        <w:t xml:space="preserve"> </w:t>
      </w:r>
      <w:r w:rsidR="00090C93" w:rsidRPr="00176C7C">
        <w:rPr>
          <w:sz w:val="24"/>
          <w:szCs w:val="24"/>
        </w:rPr>
        <w:t>результаты массовых опросов населения, Российской Федерации, проведённых в 2021 г.: «Готовность</w:t>
      </w:r>
      <w:r w:rsidR="00090C93" w:rsidRPr="00090C93">
        <w:rPr>
          <w:sz w:val="24"/>
          <w:szCs w:val="24"/>
        </w:rPr>
        <w:t xml:space="preserve"> к переменам» (</w:t>
      </w:r>
      <w:proofErr w:type="spellStart"/>
      <w:r w:rsidR="00090C93" w:rsidRPr="00090C93">
        <w:rPr>
          <w:sz w:val="24"/>
          <w:szCs w:val="24"/>
        </w:rPr>
        <w:t>самозаполнение</w:t>
      </w:r>
      <w:proofErr w:type="spellEnd"/>
      <w:r w:rsidR="00090C93" w:rsidRPr="00090C93">
        <w:rPr>
          <w:sz w:val="24"/>
          <w:szCs w:val="24"/>
        </w:rPr>
        <w:t xml:space="preserve"> онлайн анкеты, объем выборки 6000 человек в возрасте 15-72 лет,); «Потребительский выбор и бюджеты времени» (</w:t>
      </w:r>
      <w:proofErr w:type="spellStart"/>
      <w:r w:rsidR="00090C93" w:rsidRPr="00090C93">
        <w:rPr>
          <w:sz w:val="24"/>
          <w:szCs w:val="24"/>
        </w:rPr>
        <w:t>самозаполнение</w:t>
      </w:r>
      <w:proofErr w:type="spellEnd"/>
      <w:r w:rsidR="00090C93" w:rsidRPr="00090C93">
        <w:rPr>
          <w:sz w:val="24"/>
          <w:szCs w:val="24"/>
        </w:rPr>
        <w:t xml:space="preserve"> онлайн анкеты, объем выборки 4979 человек в возрасте 18 лет </w:t>
      </w:r>
      <w:r w:rsidR="00090C93" w:rsidRPr="00090C93">
        <w:rPr>
          <w:sz w:val="24"/>
          <w:szCs w:val="24"/>
        </w:rPr>
        <w:lastRenderedPageBreak/>
        <w:t xml:space="preserve">и старше); данные специализированных фокус-групповых дискуссий, проведенных в 2021 г. (20 фокус-групп, посвященных вопросам социальной устойчивости, с представителями населения в возрасте 20-45 лет, 6 фокус-групп с врачами из Барнаула и Екатеринбурга, работавшими в стационарах в «красной зоне», в стационарах не в «красной зоне», в поликлиниках). Помимо перечисленных опросов, проведенных в рамках проекта, использовались данные официальной статистики; федеральных статистических наблюдений; Мониторинга экономики образования; Мониторинга цифровой трансформации общего образования; опроса «Врачи РФ»; данные </w:t>
      </w:r>
      <w:r w:rsidR="000F1ED8">
        <w:rPr>
          <w:sz w:val="24"/>
          <w:szCs w:val="24"/>
        </w:rPr>
        <w:t xml:space="preserve">опроса портала </w:t>
      </w:r>
      <w:r w:rsidR="00090C93" w:rsidRPr="00090C93">
        <w:rPr>
          <w:sz w:val="24"/>
          <w:szCs w:val="24"/>
        </w:rPr>
        <w:t>«</w:t>
      </w:r>
      <w:proofErr w:type="spellStart"/>
      <w:r w:rsidR="00090C93" w:rsidRPr="00090C93">
        <w:rPr>
          <w:sz w:val="24"/>
          <w:szCs w:val="24"/>
        </w:rPr>
        <w:t>Медвестник</w:t>
      </w:r>
      <w:proofErr w:type="spellEnd"/>
      <w:r w:rsidR="00090C93" w:rsidRPr="00090C93">
        <w:rPr>
          <w:sz w:val="24"/>
          <w:szCs w:val="24"/>
        </w:rPr>
        <w:t xml:space="preserve">»; опрос «Справочник врача»; серия опросов ИС ФНИСЦ РАН; </w:t>
      </w:r>
      <w:r w:rsidR="00090C93">
        <w:rPr>
          <w:sz w:val="24"/>
          <w:szCs w:val="24"/>
        </w:rPr>
        <w:t>д</w:t>
      </w:r>
      <w:r w:rsidR="00090C93" w:rsidRPr="00090C93">
        <w:rPr>
          <w:sz w:val="24"/>
          <w:szCs w:val="24"/>
        </w:rPr>
        <w:t>анные социологических опросов, проводимых по заказу Администрации Президента Российской Федерации.</w:t>
      </w:r>
    </w:p>
    <w:p w:rsidR="009E3B78" w:rsidRPr="009E3B78" w:rsidRDefault="009E3B78" w:rsidP="00D548DB">
      <w:pPr>
        <w:pStyle w:val="a4"/>
        <w:numPr>
          <w:ilvl w:val="0"/>
          <w:numId w:val="1"/>
        </w:numPr>
        <w:spacing w:after="240"/>
        <w:ind w:left="0" w:firstLine="0"/>
        <w:rPr>
          <w:sz w:val="24"/>
          <w:szCs w:val="24"/>
        </w:rPr>
      </w:pPr>
      <w:r w:rsidRPr="009E3B78">
        <w:rPr>
          <w:b/>
          <w:sz w:val="24"/>
          <w:szCs w:val="24"/>
        </w:rPr>
        <w:t>Результаты работы</w:t>
      </w:r>
      <w:r>
        <w:rPr>
          <w:b/>
          <w:sz w:val="24"/>
          <w:szCs w:val="24"/>
        </w:rPr>
        <w:t>:</w:t>
      </w:r>
    </w:p>
    <w:p w:rsidR="009E3B78" w:rsidRPr="009E3B78" w:rsidRDefault="009E3B78" w:rsidP="000F1ED8">
      <w:pPr>
        <w:spacing w:after="0" w:line="240" w:lineRule="auto"/>
        <w:ind w:firstLine="426"/>
        <w:rPr>
          <w:rFonts w:eastAsia="Times New Roman" w:cs="Times New Roman"/>
          <w:color w:val="000000"/>
          <w:szCs w:val="24"/>
          <w:lang w:eastAsia="ru-RU"/>
        </w:rPr>
      </w:pPr>
      <w:r w:rsidRPr="009E3B78">
        <w:rPr>
          <w:rFonts w:eastAsia="Times New Roman" w:cs="Times New Roman"/>
          <w:color w:val="000000"/>
          <w:szCs w:val="24"/>
          <w:lang w:eastAsia="ru-RU"/>
        </w:rPr>
        <w:t xml:space="preserve">В ходе реализации </w:t>
      </w:r>
      <w:r>
        <w:rPr>
          <w:rFonts w:eastAsia="Times New Roman" w:cs="Times New Roman"/>
          <w:color w:val="000000"/>
          <w:szCs w:val="24"/>
          <w:lang w:eastAsia="ru-RU"/>
        </w:rPr>
        <w:t>мониторинг</w:t>
      </w:r>
      <w:r w:rsidRPr="009E3B78">
        <w:rPr>
          <w:rFonts w:eastAsia="Times New Roman" w:cs="Times New Roman"/>
          <w:color w:val="000000"/>
          <w:szCs w:val="24"/>
          <w:lang w:eastAsia="ru-RU"/>
        </w:rPr>
        <w:t xml:space="preserve"> был проведен комплексный анализ потенциальных источников социальной </w:t>
      </w:r>
      <w:r>
        <w:rPr>
          <w:rFonts w:eastAsia="Times New Roman" w:cs="Times New Roman"/>
          <w:color w:val="000000"/>
          <w:szCs w:val="24"/>
          <w:lang w:eastAsia="ru-RU"/>
        </w:rPr>
        <w:t xml:space="preserve">устойчивости и запроса со стороны </w:t>
      </w:r>
      <w:r w:rsidR="00893C14">
        <w:rPr>
          <w:rFonts w:eastAsia="Times New Roman" w:cs="Times New Roman"/>
          <w:color w:val="000000"/>
          <w:szCs w:val="24"/>
          <w:lang w:eastAsia="ru-RU"/>
        </w:rPr>
        <w:t>населения</w:t>
      </w:r>
      <w:r>
        <w:rPr>
          <w:rFonts w:eastAsia="Times New Roman" w:cs="Times New Roman"/>
          <w:color w:val="000000"/>
          <w:szCs w:val="24"/>
          <w:lang w:eastAsia="ru-RU"/>
        </w:rPr>
        <w:t xml:space="preserve"> на изменения, особенно в условиях </w:t>
      </w:r>
      <w:r w:rsidRPr="009E3B78">
        <w:rPr>
          <w:rFonts w:eastAsia="Times New Roman" w:cs="Times New Roman"/>
          <w:color w:val="000000"/>
          <w:szCs w:val="24"/>
          <w:lang w:eastAsia="ru-RU"/>
        </w:rPr>
        <w:t>пандемии коро</w:t>
      </w:r>
      <w:r>
        <w:rPr>
          <w:rFonts w:eastAsia="Times New Roman" w:cs="Times New Roman"/>
          <w:color w:val="000000"/>
          <w:szCs w:val="24"/>
          <w:lang w:eastAsia="ru-RU"/>
        </w:rPr>
        <w:t>навирусной инфекции</w:t>
      </w:r>
      <w:r w:rsidRPr="009E3B78">
        <w:rPr>
          <w:rFonts w:eastAsia="Times New Roman" w:cs="Times New Roman"/>
          <w:color w:val="000000"/>
          <w:szCs w:val="24"/>
          <w:lang w:eastAsia="ru-RU"/>
        </w:rPr>
        <w:t xml:space="preserve">. </w:t>
      </w:r>
    </w:p>
    <w:p w:rsidR="009E3B78" w:rsidRPr="009E3B78" w:rsidRDefault="0072259B" w:rsidP="009E3B78">
      <w:pPr>
        <w:pStyle w:val="a4"/>
        <w:spacing w:after="240"/>
        <w:rPr>
          <w:sz w:val="24"/>
          <w:szCs w:val="24"/>
        </w:rPr>
      </w:pPr>
      <w:r>
        <w:rPr>
          <w:sz w:val="24"/>
          <w:szCs w:val="24"/>
        </w:rPr>
        <w:t xml:space="preserve">Данные </w:t>
      </w:r>
      <w:proofErr w:type="spellStart"/>
      <w:r>
        <w:rPr>
          <w:sz w:val="24"/>
          <w:szCs w:val="24"/>
        </w:rPr>
        <w:t>макростатистики</w:t>
      </w:r>
      <w:proofErr w:type="spellEnd"/>
      <w:r>
        <w:rPr>
          <w:sz w:val="24"/>
          <w:szCs w:val="24"/>
        </w:rPr>
        <w:t xml:space="preserve"> свидетельствуют о том, что в 2021 г. </w:t>
      </w:r>
      <w:r w:rsidRPr="009E3B78">
        <w:rPr>
          <w:sz w:val="24"/>
          <w:szCs w:val="24"/>
        </w:rPr>
        <w:t>продолжилось восстановление реальных располагаемых денежных доходов населения.</w:t>
      </w:r>
      <w:r>
        <w:rPr>
          <w:sz w:val="24"/>
          <w:szCs w:val="24"/>
        </w:rPr>
        <w:t xml:space="preserve"> Однако рост доходов в третьем квартале 2021 г., превысивший </w:t>
      </w:r>
      <w:proofErr w:type="spellStart"/>
      <w:r>
        <w:rPr>
          <w:sz w:val="24"/>
          <w:szCs w:val="24"/>
        </w:rPr>
        <w:t>допандемийные</w:t>
      </w:r>
      <w:proofErr w:type="spellEnd"/>
      <w:r>
        <w:rPr>
          <w:sz w:val="24"/>
          <w:szCs w:val="24"/>
        </w:rPr>
        <w:t xml:space="preserve"> уровни доходов, </w:t>
      </w:r>
      <w:r w:rsidRPr="009E3B78">
        <w:rPr>
          <w:sz w:val="24"/>
          <w:szCs w:val="24"/>
        </w:rPr>
        <w:t>был в первую очередь связан с масштабными единовременными социальными выплатам</w:t>
      </w:r>
      <w:r>
        <w:rPr>
          <w:sz w:val="24"/>
          <w:szCs w:val="24"/>
        </w:rPr>
        <w:t xml:space="preserve">и семьям с детьми и пенсионерам, которые в большинстве случаев уже были потрачены на текущие расходы. В тоже время в некорпоративном секторе фиксируется падение трудовых доходов, что сказывается на темпах </w:t>
      </w:r>
      <w:r>
        <w:rPr>
          <w:sz w:val="24"/>
          <w:szCs w:val="24"/>
        </w:rPr>
        <w:lastRenderedPageBreak/>
        <w:t xml:space="preserve">роста реальных денежных доходов населения. </w:t>
      </w:r>
      <w:r w:rsidR="00005823">
        <w:rPr>
          <w:sz w:val="24"/>
          <w:szCs w:val="24"/>
        </w:rPr>
        <w:t xml:space="preserve">Все это происходит на фоне ускорившейся инфляции. Банковские сбережения населения увеличиваются незначительно, а кредитная задолженность растет. </w:t>
      </w:r>
      <w:r w:rsidR="00005823" w:rsidRPr="009E3B78">
        <w:rPr>
          <w:sz w:val="24"/>
          <w:szCs w:val="24"/>
        </w:rPr>
        <w:t>Итоги 3 квартала показывают, что темпы восстановления потребительского спроса не ускоряются. Потребительские настроения остаются в целом неизменными и довольно напряженными, несмотря на увеличение реальных денежных доходов, так же, как и субъективные оценки материального положения.</w:t>
      </w:r>
      <w:r w:rsidR="00005823">
        <w:rPr>
          <w:sz w:val="24"/>
          <w:szCs w:val="24"/>
        </w:rPr>
        <w:t xml:space="preserve"> </w:t>
      </w:r>
      <w:r w:rsidR="009E3B78" w:rsidRPr="009E3B78">
        <w:rPr>
          <w:sz w:val="24"/>
          <w:szCs w:val="24"/>
        </w:rPr>
        <w:t>Динамика потребительских настроений отражает незавершенный характер кризисных явлений, связанных с пандемией коронавируса. Реализовавшиеся в конце первого полугодия угрозы повторения карантинных ограничений усилили неопределенность относительно будущего развития событий.</w:t>
      </w:r>
    </w:p>
    <w:p w:rsidR="0072259B" w:rsidRDefault="0098480E" w:rsidP="009E3B78">
      <w:pPr>
        <w:pStyle w:val="a4"/>
        <w:spacing w:after="240"/>
        <w:rPr>
          <w:sz w:val="24"/>
          <w:szCs w:val="24"/>
          <w:highlight w:val="yellow"/>
        </w:rPr>
      </w:pPr>
      <w:r w:rsidRPr="009E3B78">
        <w:rPr>
          <w:sz w:val="24"/>
          <w:szCs w:val="24"/>
        </w:rPr>
        <w:t>Результаты обследования Левада-центра</w:t>
      </w:r>
      <w:r w:rsidR="00580123">
        <w:rPr>
          <w:rStyle w:val="a9"/>
          <w:sz w:val="24"/>
          <w:szCs w:val="24"/>
        </w:rPr>
        <w:footnoteReference w:id="1"/>
      </w:r>
      <w:r w:rsidRPr="009E3B78">
        <w:rPr>
          <w:sz w:val="24"/>
          <w:szCs w:val="24"/>
        </w:rPr>
        <w:t xml:space="preserve"> «Готовность к переменам»</w:t>
      </w:r>
      <w:r>
        <w:rPr>
          <w:sz w:val="24"/>
          <w:szCs w:val="24"/>
        </w:rPr>
        <w:t xml:space="preserve"> показывают, что </w:t>
      </w:r>
      <w:r w:rsidRPr="009E3B78">
        <w:rPr>
          <w:sz w:val="24"/>
          <w:szCs w:val="24"/>
        </w:rPr>
        <w:t>Современное понимание социальной справедливости связано с предоставлением равных стартовых возможностей и социальных гарантий всем членам общества, обеспечением равной оплаты за равный труд, необходимостью поддержки депривированных слоев и групп населения.</w:t>
      </w:r>
      <w:r w:rsidR="00447A2F" w:rsidRPr="00447A2F">
        <w:rPr>
          <w:sz w:val="24"/>
          <w:szCs w:val="24"/>
        </w:rPr>
        <w:t xml:space="preserve"> </w:t>
      </w:r>
      <w:r w:rsidR="00447A2F" w:rsidRPr="009E3B78">
        <w:rPr>
          <w:sz w:val="24"/>
          <w:szCs w:val="24"/>
        </w:rPr>
        <w:t>Российское население не одобряет высокое расслоение в обществе, но в тоже время не разделяет мнение о всеобщем равенстве в уровне благосостояния</w:t>
      </w:r>
      <w:r w:rsidR="00447A2F">
        <w:rPr>
          <w:sz w:val="24"/>
          <w:szCs w:val="24"/>
        </w:rPr>
        <w:t xml:space="preserve">. </w:t>
      </w:r>
      <w:r w:rsidR="00447A2F" w:rsidRPr="009E3B78">
        <w:rPr>
          <w:sz w:val="24"/>
          <w:szCs w:val="24"/>
        </w:rPr>
        <w:t>Наиболее «болезненной точкой» социальной сферы является система здравоохранения, ее население считает недофинансированной и не отвечающей потребностям современного человека.</w:t>
      </w:r>
      <w:r w:rsidR="00447A2F">
        <w:rPr>
          <w:sz w:val="24"/>
          <w:szCs w:val="24"/>
        </w:rPr>
        <w:t xml:space="preserve"> Это сопровождается тем, что в</w:t>
      </w:r>
      <w:r w:rsidR="00447A2F" w:rsidRPr="009E3B78">
        <w:rPr>
          <w:sz w:val="24"/>
          <w:szCs w:val="24"/>
        </w:rPr>
        <w:t>се респонденты (и особенно старших возрастов) очень болезненно воспринимают возможность людей с высоким достатком получать услуги системы здравоохранения более высокого качества. При этом получение более высокого образования и более каче</w:t>
      </w:r>
      <w:r w:rsidR="00447A2F" w:rsidRPr="009E3B78">
        <w:rPr>
          <w:sz w:val="24"/>
          <w:szCs w:val="24"/>
        </w:rPr>
        <w:lastRenderedPageBreak/>
        <w:t>ственного жилья в глазах населения выглядит более справедливо, чем оплата медицинских услуг.</w:t>
      </w:r>
    </w:p>
    <w:p w:rsidR="009E3B78" w:rsidRPr="009E3B78" w:rsidRDefault="00447A2F" w:rsidP="009E3B78">
      <w:pPr>
        <w:pStyle w:val="a4"/>
        <w:spacing w:after="240"/>
        <w:rPr>
          <w:sz w:val="24"/>
          <w:szCs w:val="24"/>
        </w:rPr>
      </w:pPr>
      <w:r w:rsidRPr="00E14C6F">
        <w:rPr>
          <w:sz w:val="24"/>
          <w:szCs w:val="24"/>
        </w:rPr>
        <w:t>Н</w:t>
      </w:r>
      <w:r w:rsidR="009E3B78" w:rsidRPr="00E14C6F">
        <w:rPr>
          <w:sz w:val="24"/>
          <w:szCs w:val="24"/>
        </w:rPr>
        <w:t>есмотря на то, что экономика постепенно выходит из «</w:t>
      </w:r>
      <w:proofErr w:type="spellStart"/>
      <w:r w:rsidR="009E3B78" w:rsidRPr="00E14C6F">
        <w:rPr>
          <w:sz w:val="24"/>
          <w:szCs w:val="24"/>
        </w:rPr>
        <w:t>пандемийного</w:t>
      </w:r>
      <w:proofErr w:type="spellEnd"/>
      <w:r w:rsidR="009E3B78" w:rsidRPr="00E14C6F">
        <w:rPr>
          <w:sz w:val="24"/>
          <w:szCs w:val="24"/>
        </w:rPr>
        <w:t>» кризиса (по сравнению с 2020г. в 2021г. доля респондентов, отмечающих в качестве причин бедности длительную безработицу упала почти в 3 раза, а невыплату зарплат – почти в 2 раза), население по-прежнему ощущает его негативное влияние и ждет помощи от государства, особенно в части материальной поддержки и решении проблем со здоровьем.</w:t>
      </w:r>
      <w:r w:rsidR="009E3B78" w:rsidRPr="009E3B78">
        <w:rPr>
          <w:sz w:val="24"/>
          <w:szCs w:val="24"/>
        </w:rPr>
        <w:t xml:space="preserve"> </w:t>
      </w:r>
    </w:p>
    <w:p w:rsidR="0010686C" w:rsidRPr="009E3B78" w:rsidRDefault="00447A2F" w:rsidP="0010686C">
      <w:pPr>
        <w:pStyle w:val="a4"/>
        <w:spacing w:after="240"/>
        <w:rPr>
          <w:sz w:val="24"/>
          <w:szCs w:val="24"/>
        </w:rPr>
      </w:pPr>
      <w:r w:rsidRPr="00E14C6F">
        <w:rPr>
          <w:sz w:val="24"/>
          <w:szCs w:val="24"/>
        </w:rPr>
        <w:t xml:space="preserve">В целом, </w:t>
      </w:r>
      <w:proofErr w:type="spellStart"/>
      <w:r w:rsidRPr="00E14C6F">
        <w:rPr>
          <w:sz w:val="24"/>
          <w:szCs w:val="24"/>
        </w:rPr>
        <w:t>коронакризис</w:t>
      </w:r>
      <w:proofErr w:type="spellEnd"/>
      <w:r w:rsidRPr="009E3B78">
        <w:rPr>
          <w:sz w:val="24"/>
          <w:szCs w:val="24"/>
        </w:rPr>
        <w:t xml:space="preserve"> продемонстрировал, что имеющихся в распоряжении россиян ресурсов недостаточно для компенсации ухудшения общей экономической ситуации, </w:t>
      </w:r>
      <w:proofErr w:type="spellStart"/>
      <w:r w:rsidRPr="009E3B78">
        <w:rPr>
          <w:sz w:val="24"/>
          <w:szCs w:val="24"/>
        </w:rPr>
        <w:t>ресурсообеспеченность</w:t>
      </w:r>
      <w:proofErr w:type="spellEnd"/>
      <w:r w:rsidRPr="009E3B78">
        <w:rPr>
          <w:sz w:val="24"/>
          <w:szCs w:val="24"/>
        </w:rPr>
        <w:t xml:space="preserve"> россиян </w:t>
      </w:r>
      <w:r w:rsidR="0015625C" w:rsidRPr="009E3B78">
        <w:rPr>
          <w:sz w:val="24"/>
          <w:szCs w:val="24"/>
        </w:rPr>
        <w:t>сокращается</w:t>
      </w:r>
      <w:r w:rsidR="0015625C">
        <w:rPr>
          <w:sz w:val="24"/>
          <w:szCs w:val="24"/>
        </w:rPr>
        <w:t xml:space="preserve"> </w:t>
      </w:r>
      <w:r w:rsidRPr="009E3B78">
        <w:rPr>
          <w:sz w:val="24"/>
          <w:szCs w:val="24"/>
        </w:rPr>
        <w:t xml:space="preserve">уже </w:t>
      </w:r>
      <w:r w:rsidR="0015625C">
        <w:rPr>
          <w:sz w:val="24"/>
          <w:szCs w:val="24"/>
        </w:rPr>
        <w:t>несколько</w:t>
      </w:r>
      <w:r w:rsidRPr="009E3B78">
        <w:rPr>
          <w:sz w:val="24"/>
          <w:szCs w:val="24"/>
        </w:rPr>
        <w:t xml:space="preserve"> лет </w:t>
      </w:r>
      <w:r>
        <w:rPr>
          <w:sz w:val="24"/>
          <w:szCs w:val="24"/>
        </w:rPr>
        <w:t>и</w:t>
      </w:r>
      <w:r w:rsidRPr="00447A2F">
        <w:rPr>
          <w:sz w:val="24"/>
          <w:szCs w:val="24"/>
        </w:rPr>
        <w:t xml:space="preserve"> </w:t>
      </w:r>
      <w:r w:rsidRPr="009E3B78">
        <w:rPr>
          <w:sz w:val="24"/>
          <w:szCs w:val="24"/>
        </w:rPr>
        <w:t>обострившиеся проблемы с занятостью ударили по устойчивости положения многих россиян довольно болезненно</w:t>
      </w:r>
      <w:r w:rsidR="00005823">
        <w:rPr>
          <w:sz w:val="24"/>
          <w:szCs w:val="24"/>
        </w:rPr>
        <w:t xml:space="preserve">. </w:t>
      </w:r>
      <w:r w:rsidR="000F1ED8" w:rsidRPr="000F1ED8">
        <w:rPr>
          <w:sz w:val="24"/>
          <w:szCs w:val="24"/>
        </w:rPr>
        <w:t xml:space="preserve">В условиях </w:t>
      </w:r>
      <w:r w:rsidR="000F1ED8">
        <w:rPr>
          <w:sz w:val="24"/>
          <w:szCs w:val="24"/>
        </w:rPr>
        <w:t xml:space="preserve">пандемии </w:t>
      </w:r>
      <w:r w:rsidR="00C44B02" w:rsidRPr="009E3B78">
        <w:rPr>
          <w:sz w:val="24"/>
          <w:szCs w:val="24"/>
        </w:rPr>
        <w:t>население страны оказалось вынуждено задействовать все имеющиеся у него альтернативные возможности для поддержания уровня своего благосостояния</w:t>
      </w:r>
      <w:r w:rsidR="00C44B02">
        <w:rPr>
          <w:sz w:val="24"/>
          <w:szCs w:val="24"/>
        </w:rPr>
        <w:t>.</w:t>
      </w:r>
      <w:r w:rsidR="00C44B02" w:rsidRPr="00C44B02">
        <w:rPr>
          <w:sz w:val="24"/>
          <w:szCs w:val="24"/>
        </w:rPr>
        <w:t xml:space="preserve"> </w:t>
      </w:r>
      <w:r w:rsidR="00E14C6F">
        <w:rPr>
          <w:sz w:val="24"/>
          <w:szCs w:val="24"/>
        </w:rPr>
        <w:t>Основными формы</w:t>
      </w:r>
      <w:r w:rsidR="00C44B02" w:rsidRPr="009E3B78">
        <w:rPr>
          <w:sz w:val="24"/>
          <w:szCs w:val="24"/>
        </w:rPr>
        <w:t xml:space="preserve"> экономического ресурса для обеспечения устойчивости положения в условиях </w:t>
      </w:r>
      <w:proofErr w:type="spellStart"/>
      <w:r w:rsidR="00C44B02" w:rsidRPr="009E3B78">
        <w:rPr>
          <w:sz w:val="24"/>
          <w:szCs w:val="24"/>
        </w:rPr>
        <w:t>коронакризиса</w:t>
      </w:r>
      <w:proofErr w:type="spellEnd"/>
      <w:r w:rsidR="0015625C">
        <w:rPr>
          <w:sz w:val="24"/>
          <w:szCs w:val="24"/>
        </w:rPr>
        <w:t xml:space="preserve"> стали</w:t>
      </w:r>
      <w:r w:rsidR="00E14C6F">
        <w:rPr>
          <w:sz w:val="24"/>
          <w:szCs w:val="24"/>
        </w:rPr>
        <w:t>:</w:t>
      </w:r>
      <w:r w:rsidR="00C44B02" w:rsidRPr="009E3B78">
        <w:rPr>
          <w:sz w:val="24"/>
          <w:szCs w:val="24"/>
        </w:rPr>
        <w:t xml:space="preserve"> «</w:t>
      </w:r>
      <w:proofErr w:type="spellStart"/>
      <w:r w:rsidR="00C44B02" w:rsidRPr="009E3B78">
        <w:rPr>
          <w:sz w:val="24"/>
          <w:szCs w:val="24"/>
        </w:rPr>
        <w:t>проедание</w:t>
      </w:r>
      <w:proofErr w:type="spellEnd"/>
      <w:r w:rsidR="00C44B02" w:rsidRPr="009E3B78">
        <w:rPr>
          <w:sz w:val="24"/>
          <w:szCs w:val="24"/>
        </w:rPr>
        <w:t>» имеющихся сбережений, трудовая деятельность на приусадебных, садовых участках, продажа имущества и наращивание кредитно-долговой нагрузки с изменением ее структуры.</w:t>
      </w:r>
      <w:r w:rsidR="00C44B02" w:rsidRPr="00C44B02">
        <w:rPr>
          <w:sz w:val="24"/>
          <w:szCs w:val="24"/>
        </w:rPr>
        <w:t xml:space="preserve"> </w:t>
      </w:r>
      <w:r w:rsidR="00C44B02" w:rsidRPr="009E3B78">
        <w:rPr>
          <w:sz w:val="24"/>
          <w:szCs w:val="24"/>
        </w:rPr>
        <w:t xml:space="preserve">Сравнительно более эффективными </w:t>
      </w:r>
      <w:r w:rsidR="00E14C6F" w:rsidRPr="009E3B78">
        <w:rPr>
          <w:sz w:val="24"/>
          <w:szCs w:val="24"/>
        </w:rPr>
        <w:t xml:space="preserve">для динамики материального положения </w:t>
      </w:r>
      <w:r w:rsidR="0015625C" w:rsidRPr="009E3B78">
        <w:rPr>
          <w:sz w:val="24"/>
          <w:szCs w:val="24"/>
        </w:rPr>
        <w:t xml:space="preserve">россиян </w:t>
      </w:r>
      <w:r w:rsidR="00C44B02" w:rsidRPr="009E3B78">
        <w:rPr>
          <w:sz w:val="24"/>
          <w:szCs w:val="24"/>
        </w:rPr>
        <w:t xml:space="preserve">в условиях кризиса </w:t>
      </w:r>
      <w:r w:rsidR="00E14C6F" w:rsidRPr="009E3B78">
        <w:rPr>
          <w:sz w:val="24"/>
          <w:szCs w:val="24"/>
        </w:rPr>
        <w:t xml:space="preserve">оказались </w:t>
      </w:r>
      <w:r w:rsidR="00C44B02" w:rsidRPr="009E3B78">
        <w:rPr>
          <w:sz w:val="24"/>
          <w:szCs w:val="24"/>
        </w:rPr>
        <w:t xml:space="preserve">различные формы постоянной вторичной занятости и получение рентных доходов. </w:t>
      </w:r>
      <w:r w:rsidR="0015625C">
        <w:rPr>
          <w:sz w:val="24"/>
          <w:szCs w:val="24"/>
        </w:rPr>
        <w:t>Но</w:t>
      </w:r>
      <w:r w:rsidR="00C44B02" w:rsidRPr="009E3B78">
        <w:rPr>
          <w:sz w:val="24"/>
          <w:szCs w:val="24"/>
        </w:rPr>
        <w:t xml:space="preserve"> даж</w:t>
      </w:r>
      <w:bookmarkStart w:id="0" w:name="_GoBack"/>
      <w:bookmarkEnd w:id="0"/>
      <w:r w:rsidR="00C44B02" w:rsidRPr="009E3B78">
        <w:rPr>
          <w:sz w:val="24"/>
          <w:szCs w:val="24"/>
        </w:rPr>
        <w:t>е эти способы улучшения своего материального положения не помогли большинству использующих их сохранить свой уровень жизни хотя бы неизменным, а тем более – улучшить его.</w:t>
      </w:r>
      <w:r w:rsidR="00C44B02">
        <w:rPr>
          <w:sz w:val="24"/>
          <w:szCs w:val="24"/>
        </w:rPr>
        <w:t xml:space="preserve"> </w:t>
      </w:r>
      <w:r w:rsidR="00C44B02">
        <w:rPr>
          <w:sz w:val="24"/>
          <w:szCs w:val="24"/>
        </w:rPr>
        <w:lastRenderedPageBreak/>
        <w:t>Дополнительными ресурсами</w:t>
      </w:r>
      <w:r w:rsidR="0015625C">
        <w:rPr>
          <w:sz w:val="24"/>
          <w:szCs w:val="24"/>
        </w:rPr>
        <w:t xml:space="preserve"> сохранения </w:t>
      </w:r>
      <w:r w:rsidR="00C44B02">
        <w:rPr>
          <w:sz w:val="24"/>
          <w:szCs w:val="24"/>
        </w:rPr>
        <w:t xml:space="preserve">материального положения россиян, становятся </w:t>
      </w:r>
      <w:r w:rsidR="00C44B02" w:rsidRPr="009E3B78">
        <w:rPr>
          <w:sz w:val="24"/>
          <w:szCs w:val="24"/>
        </w:rPr>
        <w:t>ресурс социальных сетей</w:t>
      </w:r>
      <w:r w:rsidR="00C44B02">
        <w:rPr>
          <w:sz w:val="24"/>
          <w:szCs w:val="24"/>
        </w:rPr>
        <w:t xml:space="preserve"> и квалификационный ресурс. </w:t>
      </w:r>
      <w:r w:rsidR="0010686C">
        <w:rPr>
          <w:sz w:val="24"/>
          <w:szCs w:val="24"/>
        </w:rPr>
        <w:t xml:space="preserve">Однако ситуация, складывающаяся в сфере занятости, ведет к тому, что </w:t>
      </w:r>
      <w:r w:rsidR="0010686C" w:rsidRPr="009E3B78">
        <w:rPr>
          <w:sz w:val="24"/>
          <w:szCs w:val="24"/>
        </w:rPr>
        <w:t xml:space="preserve">всем представителям массовых слоев населения, включая наиболее образованную их часть, целесообразнее оказывается наращивать свой социальный, а не квалификационный ресурс. </w:t>
      </w:r>
      <w:r w:rsidR="0015625C">
        <w:rPr>
          <w:sz w:val="24"/>
          <w:szCs w:val="24"/>
        </w:rPr>
        <w:t>В то же время</w:t>
      </w:r>
      <w:r w:rsidR="0010686C" w:rsidRPr="009E3B78">
        <w:rPr>
          <w:sz w:val="24"/>
          <w:szCs w:val="24"/>
        </w:rPr>
        <w:t xml:space="preserve"> возможности такой стратегии для большинства населения очень ограничены и все больше сокращаются за счет общего сокращения потенциала социальных сетей. </w:t>
      </w:r>
      <w:r w:rsidR="00E14C6F">
        <w:rPr>
          <w:sz w:val="24"/>
          <w:szCs w:val="24"/>
        </w:rPr>
        <w:t xml:space="preserve">В итоге, </w:t>
      </w:r>
      <w:r w:rsidR="00E14C6F" w:rsidRPr="009E3B78">
        <w:rPr>
          <w:sz w:val="24"/>
          <w:szCs w:val="24"/>
        </w:rPr>
        <w:t>ресурсная обеспеченность большинства российских семей оказывается недостаточной для успешного преодоления сложившейся кризисной ситуации, причем нехваткой или отсутствием ключевого по эффективности ресурса – социального – характеризуются именно те группы населения, у которых отсутствуют или недостаточны и другие виды ресурсов</w:t>
      </w:r>
    </w:p>
    <w:p w:rsidR="0010686C" w:rsidRDefault="0010686C" w:rsidP="009E3B78">
      <w:pPr>
        <w:pStyle w:val="a4"/>
        <w:spacing w:after="240"/>
        <w:rPr>
          <w:sz w:val="24"/>
          <w:szCs w:val="24"/>
        </w:rPr>
      </w:pPr>
    </w:p>
    <w:p w:rsidR="00271A29" w:rsidRPr="00E14C6F" w:rsidRDefault="00271A29" w:rsidP="009E3B78">
      <w:pPr>
        <w:pStyle w:val="a4"/>
        <w:spacing w:after="240"/>
        <w:rPr>
          <w:sz w:val="24"/>
          <w:szCs w:val="24"/>
        </w:rPr>
      </w:pPr>
      <w:r w:rsidRPr="00E14C6F">
        <w:rPr>
          <w:sz w:val="24"/>
          <w:szCs w:val="24"/>
        </w:rPr>
        <w:t xml:space="preserve">В рамках работы также был проведен анализ сферы здравоохранения и образования, социальная устойчивость в которых важна, поэтому необходимо понимать основные проблемы и вызовы, которые формируются в этих областях. </w:t>
      </w:r>
    </w:p>
    <w:p w:rsidR="00271A29" w:rsidRDefault="00271A29" w:rsidP="009E3B78">
      <w:pPr>
        <w:pStyle w:val="a4"/>
        <w:spacing w:after="240"/>
        <w:rPr>
          <w:sz w:val="24"/>
          <w:szCs w:val="24"/>
          <w:highlight w:val="yellow"/>
        </w:rPr>
      </w:pPr>
      <w:r w:rsidRPr="00E14C6F">
        <w:rPr>
          <w:sz w:val="24"/>
          <w:szCs w:val="24"/>
        </w:rPr>
        <w:t>В части образования на данных</w:t>
      </w:r>
      <w:r w:rsidRPr="009E3B78">
        <w:rPr>
          <w:sz w:val="24"/>
          <w:szCs w:val="24"/>
        </w:rPr>
        <w:t xml:space="preserve"> проекта «Готовность к переменам» и ряда других масштабных исследований, посвященных изучению трансформации российской системы образования, было проанализировано мнение населения и его отдельных групп по таким темам, как доступность высшего образования, новые образовательные результаты, ценность высшего образования и цифровизация высшего образования.</w:t>
      </w:r>
      <w:r>
        <w:rPr>
          <w:sz w:val="24"/>
          <w:szCs w:val="24"/>
        </w:rPr>
        <w:t xml:space="preserve"> Было выделено </w:t>
      </w:r>
      <w:r>
        <w:rPr>
          <w:sz w:val="24"/>
          <w:szCs w:val="24"/>
        </w:rPr>
        <w:lastRenderedPageBreak/>
        <w:t xml:space="preserve">пять основных вызов в системе образования в России. </w:t>
      </w:r>
      <w:r w:rsidRPr="009E3B78">
        <w:rPr>
          <w:sz w:val="24"/>
          <w:szCs w:val="24"/>
        </w:rPr>
        <w:t>Первый большой вызов связан с тем, что формирующийся в системах общего и высшего образования устойчивый запрос на новые образовательные результаты пока оказывается недостаточно поддержан решениями образовательной политики как на национальном, так и на институциональном уровне</w:t>
      </w:r>
      <w:r>
        <w:rPr>
          <w:sz w:val="24"/>
          <w:szCs w:val="24"/>
        </w:rPr>
        <w:t xml:space="preserve">. </w:t>
      </w:r>
      <w:r w:rsidRPr="009E3B78">
        <w:rPr>
          <w:sz w:val="24"/>
          <w:szCs w:val="24"/>
        </w:rPr>
        <w:t>Второй вызов связан с тем, что неравенство доступа к качественному высшему образованию продолжает оставаться для российской системы актуальной проблемой. Жители из семей с более высоким достатком отмечают большую доступность качественного высшего образования по сравнению с менее обеспеченными и дают более позитивные оценки в отношении динамики изменения ситуации с доступностью высшего образования.</w:t>
      </w:r>
      <w:r w:rsidRPr="00271A29">
        <w:rPr>
          <w:sz w:val="24"/>
          <w:szCs w:val="24"/>
        </w:rPr>
        <w:t xml:space="preserve"> </w:t>
      </w:r>
      <w:r w:rsidRPr="009E3B78">
        <w:rPr>
          <w:sz w:val="24"/>
          <w:szCs w:val="24"/>
        </w:rPr>
        <w:t>Третий большой вызов связан с негативной динамикой восприятия ценности высшего образования. Результаты исследования демонстрируют значительные возрастные различия в восприятии ценности высшего образования: среди наиболее молодой возрастной когорты существенно меньше доля тех, кто хочет, чтобы их дети и внуки получили высшее образование.</w:t>
      </w:r>
      <w:r w:rsidRPr="00271A29">
        <w:rPr>
          <w:sz w:val="24"/>
          <w:szCs w:val="24"/>
        </w:rPr>
        <w:t xml:space="preserve"> </w:t>
      </w:r>
      <w:r w:rsidRPr="009E3B78">
        <w:rPr>
          <w:sz w:val="24"/>
          <w:szCs w:val="24"/>
        </w:rPr>
        <w:t>Это ставит систему образования перед необходимостью существенной трансформации как в части СПО, так и в части высшего образования.</w:t>
      </w:r>
      <w:r w:rsidRPr="00271A29">
        <w:rPr>
          <w:sz w:val="24"/>
          <w:szCs w:val="24"/>
        </w:rPr>
        <w:t xml:space="preserve"> </w:t>
      </w:r>
      <w:r w:rsidRPr="009E3B78">
        <w:rPr>
          <w:sz w:val="24"/>
          <w:szCs w:val="24"/>
        </w:rPr>
        <w:t>Четвертый вызов связан увеличением потоков исходящей мобильности населения, которая актуализирует проблему «утечки мозгов». Результаты динамического анализа исследований за разные года демонстрируют устойчивый рост спроса на зарубежную образовательную миграцию. При этом наиболее высокий запрос фиксируется в наиболее молодой когорте (15-24 года) и среди наиболее образованных.</w:t>
      </w:r>
      <w:r w:rsidRPr="00271A29">
        <w:rPr>
          <w:sz w:val="24"/>
          <w:szCs w:val="24"/>
        </w:rPr>
        <w:t xml:space="preserve"> </w:t>
      </w:r>
      <w:r w:rsidRPr="009E3B78">
        <w:rPr>
          <w:sz w:val="24"/>
          <w:szCs w:val="24"/>
        </w:rPr>
        <w:t xml:space="preserve">Наконец, пятый большой вызов связан с проблемами </w:t>
      </w:r>
      <w:proofErr w:type="spellStart"/>
      <w:r w:rsidRPr="009E3B78">
        <w:rPr>
          <w:sz w:val="24"/>
          <w:szCs w:val="24"/>
        </w:rPr>
        <w:t>цифровизации</w:t>
      </w:r>
      <w:proofErr w:type="spellEnd"/>
      <w:r w:rsidRPr="009E3B78">
        <w:rPr>
          <w:sz w:val="24"/>
          <w:szCs w:val="24"/>
        </w:rPr>
        <w:t xml:space="preserve"> высшего образования, которые в современных условиях, когда использование </w:t>
      </w:r>
      <w:r w:rsidRPr="009E3B78">
        <w:rPr>
          <w:sz w:val="24"/>
          <w:szCs w:val="24"/>
        </w:rPr>
        <w:lastRenderedPageBreak/>
        <w:t>цифровых сред обучения становится безальтернативной повседневной реальностью, ставят под угрозу качество высшего образования в целом.</w:t>
      </w:r>
    </w:p>
    <w:p w:rsidR="00AA3BF2" w:rsidRDefault="00AA3BF2" w:rsidP="009E3B78">
      <w:pPr>
        <w:pStyle w:val="a4"/>
        <w:spacing w:after="240"/>
        <w:rPr>
          <w:sz w:val="24"/>
          <w:szCs w:val="24"/>
        </w:rPr>
      </w:pPr>
      <w:r w:rsidRPr="00AA3BF2">
        <w:rPr>
          <w:sz w:val="24"/>
          <w:szCs w:val="24"/>
        </w:rPr>
        <w:t>В части здравоохранения</w:t>
      </w:r>
      <w:r>
        <w:rPr>
          <w:sz w:val="24"/>
          <w:szCs w:val="24"/>
        </w:rPr>
        <w:t xml:space="preserve"> было зафиксирован рост уровня недовольства гражданами оказанной медицинской помощью, особенно в части взаимодействия пациентов с медицинскими работниками. При этом п</w:t>
      </w:r>
      <w:r w:rsidRPr="009E3B78">
        <w:rPr>
          <w:sz w:val="24"/>
          <w:szCs w:val="24"/>
        </w:rPr>
        <w:t>рофессиональные и личностные качества медицинских работников (более добросовестное отношение к своим обязанностям и более внимательное отношение к пациентам) наиболее часто отмечаются респондентами в числе актуальных направлений улучшения качества медицинской помощи.</w:t>
      </w:r>
      <w:r w:rsidRPr="00AA3BF2">
        <w:rPr>
          <w:sz w:val="24"/>
          <w:szCs w:val="24"/>
        </w:rPr>
        <w:t xml:space="preserve"> </w:t>
      </w:r>
      <w:r>
        <w:rPr>
          <w:sz w:val="24"/>
          <w:szCs w:val="24"/>
        </w:rPr>
        <w:t>Медицинские услуги находятся в приоритете</w:t>
      </w:r>
      <w:r w:rsidR="003633D5">
        <w:rPr>
          <w:sz w:val="24"/>
          <w:szCs w:val="24"/>
        </w:rPr>
        <w:t xml:space="preserve"> у населения</w:t>
      </w:r>
      <w:r>
        <w:rPr>
          <w:sz w:val="24"/>
          <w:szCs w:val="24"/>
        </w:rPr>
        <w:t>, и в то же время в</w:t>
      </w:r>
      <w:r w:rsidRPr="009E3B78">
        <w:rPr>
          <w:sz w:val="24"/>
          <w:szCs w:val="24"/>
        </w:rPr>
        <w:t xml:space="preserve"> обществе сохраняются невысокие ожидания от бесплатной медицинской помощи, и при появлении финансовой возможности граждане готовы тратить дополнительные доходы на платные медицинские услуги, особенно если они прежде уже имели опыт их использования.</w:t>
      </w:r>
      <w:r>
        <w:rPr>
          <w:sz w:val="24"/>
          <w:szCs w:val="24"/>
        </w:rPr>
        <w:t xml:space="preserve"> Отдельное внимание в рамках проекта было уделено работе врачей. </w:t>
      </w:r>
      <w:r w:rsidR="00065516">
        <w:rPr>
          <w:sz w:val="24"/>
          <w:szCs w:val="24"/>
        </w:rPr>
        <w:t xml:space="preserve">Медики </w:t>
      </w:r>
      <w:r w:rsidR="00065516" w:rsidRPr="009E3B78">
        <w:rPr>
          <w:sz w:val="24"/>
          <w:szCs w:val="24"/>
        </w:rPr>
        <w:t xml:space="preserve">констатируют снижение на протяжении последних полутора лет доступности плановой амбулаторной и </w:t>
      </w:r>
      <w:r w:rsidR="00065516">
        <w:rPr>
          <w:sz w:val="24"/>
          <w:szCs w:val="24"/>
        </w:rPr>
        <w:t xml:space="preserve">стационарной медицинской помощи, в том числе за счет нарастающего кадрового дефицита, который со временем может усилиться. Работа в «красных зонах» привлекала персонал за счет высокой заработной платы, однако тяжелые условия труда ведут к профессиональному выгоранию, перенесенный </w:t>
      </w:r>
      <w:r w:rsidR="00065516">
        <w:rPr>
          <w:sz w:val="24"/>
          <w:szCs w:val="24"/>
          <w:lang w:val="en-US"/>
        </w:rPr>
        <w:t>COVID</w:t>
      </w:r>
      <w:r w:rsidR="00065516" w:rsidRPr="00065516">
        <w:rPr>
          <w:sz w:val="24"/>
          <w:szCs w:val="24"/>
        </w:rPr>
        <w:t>-</w:t>
      </w:r>
      <w:r w:rsidR="003633D5" w:rsidRPr="00065516">
        <w:rPr>
          <w:sz w:val="24"/>
          <w:szCs w:val="24"/>
        </w:rPr>
        <w:t xml:space="preserve">19 </w:t>
      </w:r>
      <w:r w:rsidR="003633D5">
        <w:rPr>
          <w:sz w:val="24"/>
          <w:szCs w:val="24"/>
        </w:rPr>
        <w:t>и</w:t>
      </w:r>
      <w:r w:rsidR="00065516">
        <w:rPr>
          <w:sz w:val="24"/>
          <w:szCs w:val="24"/>
        </w:rPr>
        <w:t xml:space="preserve"> его последствия усугубляют ситуацию, что в итоге </w:t>
      </w:r>
      <w:r w:rsidR="0015625C">
        <w:rPr>
          <w:sz w:val="24"/>
          <w:szCs w:val="24"/>
        </w:rPr>
        <w:t>поспособствует</w:t>
      </w:r>
      <w:r w:rsidR="00065516">
        <w:rPr>
          <w:sz w:val="24"/>
          <w:szCs w:val="24"/>
        </w:rPr>
        <w:t xml:space="preserve"> оттоку кадров из медицины, снижению качества рабо</w:t>
      </w:r>
      <w:r w:rsidR="0015625C">
        <w:rPr>
          <w:sz w:val="24"/>
          <w:szCs w:val="24"/>
        </w:rPr>
        <w:t>ты медицинских</w:t>
      </w:r>
      <w:r w:rsidR="00065516">
        <w:rPr>
          <w:sz w:val="24"/>
          <w:szCs w:val="24"/>
        </w:rPr>
        <w:t xml:space="preserve"> сотрудников, ослаблению </w:t>
      </w:r>
      <w:r w:rsidR="0015625C">
        <w:rPr>
          <w:sz w:val="24"/>
          <w:szCs w:val="24"/>
        </w:rPr>
        <w:t xml:space="preserve">их </w:t>
      </w:r>
      <w:r w:rsidR="00065516">
        <w:rPr>
          <w:sz w:val="24"/>
          <w:szCs w:val="24"/>
        </w:rPr>
        <w:t>трудовой мотивации. Отдельное опасение – снижение доходов при возвращении в «</w:t>
      </w:r>
      <w:proofErr w:type="spellStart"/>
      <w:r w:rsidR="00065516">
        <w:rPr>
          <w:sz w:val="24"/>
          <w:szCs w:val="24"/>
        </w:rPr>
        <w:t>нековидные</w:t>
      </w:r>
      <w:proofErr w:type="spellEnd"/>
      <w:r w:rsidR="00065516">
        <w:rPr>
          <w:sz w:val="24"/>
          <w:szCs w:val="24"/>
        </w:rPr>
        <w:t xml:space="preserve">» </w:t>
      </w:r>
      <w:r w:rsidR="00065516">
        <w:rPr>
          <w:sz w:val="24"/>
          <w:szCs w:val="24"/>
        </w:rPr>
        <w:lastRenderedPageBreak/>
        <w:t xml:space="preserve">условия работы. Врачи указывают на то, что доходы при возвращении на предыдущую занятость оказывают ниже, чем раньше, и в случае массовости подобного явления может привести к ослаблению трудовой мотивации врачей </w:t>
      </w:r>
      <w:r w:rsidR="0015625C">
        <w:rPr>
          <w:sz w:val="24"/>
          <w:szCs w:val="24"/>
        </w:rPr>
        <w:t xml:space="preserve">и </w:t>
      </w:r>
      <w:r w:rsidR="00065516">
        <w:rPr>
          <w:sz w:val="24"/>
          <w:szCs w:val="24"/>
        </w:rPr>
        <w:t>усилению</w:t>
      </w:r>
      <w:r w:rsidR="00065516" w:rsidRPr="009E3B78">
        <w:rPr>
          <w:sz w:val="24"/>
          <w:szCs w:val="24"/>
        </w:rPr>
        <w:t xml:space="preserve"> социальной напряженности.</w:t>
      </w:r>
    </w:p>
    <w:p w:rsidR="00E14C6F" w:rsidRDefault="00E14C6F" w:rsidP="00E14C6F">
      <w:pPr>
        <w:pStyle w:val="a4"/>
        <w:spacing w:after="240"/>
        <w:rPr>
          <w:sz w:val="24"/>
          <w:szCs w:val="24"/>
        </w:rPr>
      </w:pPr>
      <w:r>
        <w:rPr>
          <w:sz w:val="24"/>
          <w:szCs w:val="24"/>
        </w:rPr>
        <w:t xml:space="preserve">В целом, в представлениях населения о будущем развития страны преобладают </w:t>
      </w:r>
      <w:r w:rsidRPr="005B447B">
        <w:rPr>
          <w:sz w:val="24"/>
          <w:szCs w:val="24"/>
        </w:rPr>
        <w:t>неопределенность, тревога и нестабильность. Во многом это определяется опытом пандемии: люди знают, что стало с их планами и ожиданиями, и настроены в основном осторожно-пессимистично. Горизонт планирования снизился до 1-2 лет</w:t>
      </w:r>
      <w:r>
        <w:rPr>
          <w:sz w:val="24"/>
          <w:szCs w:val="24"/>
        </w:rPr>
        <w:t xml:space="preserve">. С одной стороны, часть изменений в стране </w:t>
      </w:r>
      <w:r w:rsidR="0015625C">
        <w:rPr>
          <w:sz w:val="24"/>
          <w:szCs w:val="24"/>
        </w:rPr>
        <w:t xml:space="preserve">по мнению </w:t>
      </w:r>
      <w:r>
        <w:rPr>
          <w:sz w:val="24"/>
          <w:szCs w:val="24"/>
        </w:rPr>
        <w:t xml:space="preserve">способно поддерживать устойчивое развитие – это в первую очередь развитие технологий, развитие городов, социальные гарантии. С другой стороны, признается наличие накапливающихся проблем, негативно влияющих на развитие страны, -  падение доходов и уровня жизни, нарастающее неравенство, сырьевая ориентация экономики. </w:t>
      </w:r>
    </w:p>
    <w:p w:rsidR="009E3B78" w:rsidRPr="009E3B78" w:rsidRDefault="009E3B78" w:rsidP="00E14C6F">
      <w:pPr>
        <w:pStyle w:val="a4"/>
        <w:spacing w:after="240"/>
        <w:rPr>
          <w:sz w:val="24"/>
          <w:szCs w:val="24"/>
        </w:rPr>
      </w:pPr>
      <w:r w:rsidRPr="00576728">
        <w:rPr>
          <w:b/>
          <w:sz w:val="24"/>
          <w:szCs w:val="24"/>
        </w:rPr>
        <w:t>Степень внедрения, рекомендации по внедрению или итоги внедрения результатов НИР</w:t>
      </w:r>
      <w:r>
        <w:rPr>
          <w:b/>
          <w:sz w:val="24"/>
          <w:szCs w:val="24"/>
        </w:rPr>
        <w:t xml:space="preserve"> (заполняется при возможности практического использования полученных результатов): </w:t>
      </w:r>
      <w:r w:rsidRPr="008B784D">
        <w:rPr>
          <w:sz w:val="24"/>
          <w:szCs w:val="24"/>
        </w:rPr>
        <w:t>отдельные результаты</w:t>
      </w:r>
      <w:r w:rsidRPr="00285D90">
        <w:rPr>
          <w:sz w:val="24"/>
          <w:szCs w:val="24"/>
        </w:rPr>
        <w:t xml:space="preserve"> исследования </w:t>
      </w:r>
      <w:r w:rsidRPr="00B32C9A">
        <w:rPr>
          <w:sz w:val="24"/>
          <w:szCs w:val="24"/>
        </w:rPr>
        <w:t>были использованы при подготовке в 20</w:t>
      </w:r>
      <w:r>
        <w:rPr>
          <w:sz w:val="24"/>
          <w:szCs w:val="24"/>
        </w:rPr>
        <w:t>21</w:t>
      </w:r>
      <w:r w:rsidRPr="00B32C9A">
        <w:rPr>
          <w:sz w:val="24"/>
          <w:szCs w:val="24"/>
        </w:rPr>
        <w:t xml:space="preserve"> г. аналитических з</w:t>
      </w:r>
      <w:r>
        <w:rPr>
          <w:sz w:val="24"/>
          <w:szCs w:val="24"/>
        </w:rPr>
        <w:t>аписок и экспертных заключений</w:t>
      </w:r>
      <w:r w:rsidRPr="008B784D">
        <w:rPr>
          <w:sz w:val="24"/>
          <w:szCs w:val="24"/>
        </w:rPr>
        <w:t>.</w:t>
      </w:r>
      <w:r>
        <w:rPr>
          <w:sz w:val="24"/>
          <w:szCs w:val="24"/>
        </w:rPr>
        <w:t xml:space="preserve"> </w:t>
      </w:r>
      <w:r w:rsidRPr="00B32C9A">
        <w:rPr>
          <w:sz w:val="24"/>
          <w:szCs w:val="24"/>
        </w:rPr>
        <w:t xml:space="preserve">Результаты данной работы могут быть использованы для </w:t>
      </w:r>
      <w:r>
        <w:rPr>
          <w:sz w:val="24"/>
          <w:szCs w:val="24"/>
        </w:rPr>
        <w:t xml:space="preserve">выявления ключевых точек социальной напряженности в России и разработки мер по обеспечению социальной устойчивости. </w:t>
      </w:r>
    </w:p>
    <w:p w:rsidR="00D548DB" w:rsidRDefault="00D548DB" w:rsidP="00D548DB">
      <w:pPr>
        <w:pStyle w:val="a4"/>
        <w:spacing w:after="240"/>
        <w:ind w:firstLine="0"/>
        <w:rPr>
          <w:sz w:val="24"/>
          <w:szCs w:val="24"/>
        </w:rPr>
      </w:pPr>
    </w:p>
    <w:p w:rsidR="009E3B78" w:rsidRPr="00D548DB" w:rsidRDefault="009E3B78" w:rsidP="00D548DB">
      <w:pPr>
        <w:pStyle w:val="a4"/>
        <w:spacing w:after="240"/>
        <w:ind w:firstLine="0"/>
        <w:rPr>
          <w:sz w:val="24"/>
          <w:szCs w:val="24"/>
        </w:rPr>
      </w:pPr>
    </w:p>
    <w:p w:rsidR="00F62171" w:rsidRDefault="00F62171"/>
    <w:sectPr w:rsidR="00F62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23" w:rsidRDefault="00580123" w:rsidP="00580123">
      <w:pPr>
        <w:spacing w:before="0" w:after="0" w:line="240" w:lineRule="auto"/>
      </w:pPr>
      <w:r>
        <w:separator/>
      </w:r>
    </w:p>
  </w:endnote>
  <w:endnote w:type="continuationSeparator" w:id="0">
    <w:p w:rsidR="00580123" w:rsidRDefault="00580123" w:rsidP="005801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23" w:rsidRDefault="00580123" w:rsidP="00580123">
      <w:pPr>
        <w:spacing w:before="0" w:after="0" w:line="240" w:lineRule="auto"/>
      </w:pPr>
      <w:r>
        <w:separator/>
      </w:r>
    </w:p>
  </w:footnote>
  <w:footnote w:type="continuationSeparator" w:id="0">
    <w:p w:rsidR="00580123" w:rsidRDefault="00580123" w:rsidP="00580123">
      <w:pPr>
        <w:spacing w:before="0" w:after="0" w:line="240" w:lineRule="auto"/>
      </w:pPr>
      <w:r>
        <w:continuationSeparator/>
      </w:r>
    </w:p>
  </w:footnote>
  <w:footnote w:id="1">
    <w:p w:rsidR="00580123" w:rsidRPr="00580123" w:rsidRDefault="00580123">
      <w:pPr>
        <w:pStyle w:val="a7"/>
        <w:rPr>
          <w:rFonts w:cs="Times New Roman"/>
        </w:rPr>
      </w:pPr>
      <w:r w:rsidRPr="00580123">
        <w:rPr>
          <w:rStyle w:val="a9"/>
          <w:rFonts w:cs="Times New Roman"/>
        </w:rPr>
        <w:footnoteRef/>
      </w:r>
      <w:r w:rsidRPr="00580123">
        <w:rPr>
          <w:rFonts w:cs="Times New Roman"/>
        </w:rPr>
        <w:t xml:space="preserve"> </w:t>
      </w:r>
      <w:r w:rsidRPr="00580123">
        <w:rPr>
          <w:rFonts w:eastAsia="Calibri" w:cs="Times New Roman"/>
          <w:iCs/>
        </w:rPr>
        <w:t>юридическое лицо, признанное выполняющим функции иностранного агента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F50"/>
    <w:multiLevelType w:val="hybridMultilevel"/>
    <w:tmpl w:val="507AD222"/>
    <w:lvl w:ilvl="0" w:tplc="0D3C33E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7A"/>
    <w:rsid w:val="00005823"/>
    <w:rsid w:val="00065516"/>
    <w:rsid w:val="00072EEF"/>
    <w:rsid w:val="00090C93"/>
    <w:rsid w:val="000F1ED8"/>
    <w:rsid w:val="0010686C"/>
    <w:rsid w:val="0015625C"/>
    <w:rsid w:val="00176C7C"/>
    <w:rsid w:val="00271A29"/>
    <w:rsid w:val="002876BE"/>
    <w:rsid w:val="0032047A"/>
    <w:rsid w:val="003633D5"/>
    <w:rsid w:val="003B2A0D"/>
    <w:rsid w:val="00447A2F"/>
    <w:rsid w:val="00490412"/>
    <w:rsid w:val="00580123"/>
    <w:rsid w:val="0072259B"/>
    <w:rsid w:val="00893C14"/>
    <w:rsid w:val="0098480E"/>
    <w:rsid w:val="009C7776"/>
    <w:rsid w:val="009E3B78"/>
    <w:rsid w:val="00AA3BF2"/>
    <w:rsid w:val="00C44B02"/>
    <w:rsid w:val="00D548DB"/>
    <w:rsid w:val="00E14C6F"/>
    <w:rsid w:val="00E672D8"/>
    <w:rsid w:val="00F62171"/>
    <w:rsid w:val="00F8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C79C9-B397-4807-A3D4-4DD32335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_норм"/>
    <w:qFormat/>
    <w:rsid w:val="003B2A0D"/>
    <w:pPr>
      <w:spacing w:before="120" w:after="120" w:line="36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32047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Body Text Indent"/>
    <w:basedOn w:val="a"/>
    <w:link w:val="a5"/>
    <w:unhideWhenUsed/>
    <w:rsid w:val="00D548DB"/>
    <w:pPr>
      <w:widowControl w:val="0"/>
      <w:autoSpaceDE w:val="0"/>
      <w:autoSpaceDN w:val="0"/>
      <w:adjustRightInd w:val="0"/>
      <w:spacing w:before="0" w:after="0" w:line="240" w:lineRule="auto"/>
      <w:ind w:firstLine="380"/>
    </w:pPr>
    <w:rPr>
      <w:rFonts w:eastAsia="Times New Roman" w:cs="Times New Roman"/>
      <w:sz w:val="20"/>
      <w:szCs w:val="20"/>
      <w:lang w:eastAsia="ru-RU"/>
    </w:rPr>
  </w:style>
  <w:style w:type="character" w:customStyle="1" w:styleId="a5">
    <w:name w:val="Основной текст с отступом Знак"/>
    <w:basedOn w:val="a0"/>
    <w:link w:val="a4"/>
    <w:rsid w:val="00D548DB"/>
    <w:rPr>
      <w:rFonts w:ascii="Times New Roman" w:eastAsia="Times New Roman" w:hAnsi="Times New Roman" w:cs="Times New Roman"/>
      <w:sz w:val="20"/>
      <w:szCs w:val="20"/>
      <w:lang w:eastAsia="ru-RU"/>
    </w:rPr>
  </w:style>
  <w:style w:type="paragraph" w:styleId="a6">
    <w:name w:val="List Paragraph"/>
    <w:basedOn w:val="a"/>
    <w:uiPriority w:val="34"/>
    <w:qFormat/>
    <w:rsid w:val="00E672D8"/>
    <w:pPr>
      <w:ind w:left="720"/>
      <w:contextualSpacing/>
    </w:pPr>
  </w:style>
  <w:style w:type="paragraph" w:styleId="a7">
    <w:name w:val="footnote text"/>
    <w:basedOn w:val="a"/>
    <w:link w:val="a8"/>
    <w:uiPriority w:val="99"/>
    <w:semiHidden/>
    <w:unhideWhenUsed/>
    <w:rsid w:val="00580123"/>
    <w:pPr>
      <w:spacing w:before="0" w:after="0" w:line="240" w:lineRule="auto"/>
    </w:pPr>
    <w:rPr>
      <w:sz w:val="20"/>
      <w:szCs w:val="20"/>
    </w:rPr>
  </w:style>
  <w:style w:type="character" w:customStyle="1" w:styleId="a8">
    <w:name w:val="Текст сноски Знак"/>
    <w:basedOn w:val="a0"/>
    <w:link w:val="a7"/>
    <w:uiPriority w:val="99"/>
    <w:semiHidden/>
    <w:rsid w:val="00580123"/>
    <w:rPr>
      <w:rFonts w:ascii="Times New Roman" w:hAnsi="Times New Roman"/>
      <w:sz w:val="20"/>
      <w:szCs w:val="20"/>
    </w:rPr>
  </w:style>
  <w:style w:type="character" w:styleId="a9">
    <w:name w:val="footnote reference"/>
    <w:basedOn w:val="a0"/>
    <w:uiPriority w:val="99"/>
    <w:semiHidden/>
    <w:unhideWhenUsed/>
    <w:rsid w:val="00580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4020-21CC-48FD-810D-0395F32A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10423</Characters>
  <Application>Microsoft Office Word</Application>
  <DocSecurity>4</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Пользователь Windows</cp:lastModifiedBy>
  <cp:revision>2</cp:revision>
  <dcterms:created xsi:type="dcterms:W3CDTF">2025-01-22T11:55:00Z</dcterms:created>
  <dcterms:modified xsi:type="dcterms:W3CDTF">2025-01-22T11:55:00Z</dcterms:modified>
</cp:coreProperties>
</file>