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9A" w:rsidRPr="001A4C34" w:rsidRDefault="00D91E1B" w:rsidP="00DE1428">
      <w:pPr>
        <w:pStyle w:val="a3"/>
        <w:widowControl/>
        <w:tabs>
          <w:tab w:val="left" w:pos="360"/>
        </w:tabs>
        <w:ind w:firstLine="709"/>
        <w:jc w:val="center"/>
        <w:rPr>
          <w:rFonts w:asciiTheme="minorHAnsi" w:hAnsiTheme="minorHAnsi"/>
          <w:b/>
          <w:sz w:val="24"/>
          <w:szCs w:val="24"/>
        </w:rPr>
      </w:pPr>
      <w:r w:rsidRPr="001A4C34">
        <w:rPr>
          <w:rFonts w:ascii="Times New Roman" w:hAnsi="Times New Roman"/>
          <w:b/>
          <w:sz w:val="24"/>
          <w:szCs w:val="24"/>
        </w:rPr>
        <w:t>Аннотация</w:t>
      </w:r>
    </w:p>
    <w:p w:rsidR="00E72A7A" w:rsidRPr="001A4C34" w:rsidRDefault="00E72A7A" w:rsidP="00DE1428">
      <w:pPr>
        <w:pStyle w:val="a3"/>
        <w:widowControl/>
        <w:tabs>
          <w:tab w:val="left" w:pos="360"/>
        </w:tabs>
        <w:ind w:firstLine="709"/>
        <w:jc w:val="center"/>
        <w:rPr>
          <w:rFonts w:ascii="Times New Roman" w:hAnsi="Times New Roman"/>
          <w:b/>
          <w:sz w:val="24"/>
          <w:szCs w:val="24"/>
        </w:rPr>
      </w:pPr>
      <w:r w:rsidRPr="001A4C34">
        <w:rPr>
          <w:rFonts w:ascii="Times New Roman" w:hAnsi="Times New Roman"/>
          <w:b/>
          <w:sz w:val="24"/>
          <w:szCs w:val="24"/>
        </w:rPr>
        <w:t>ТЗ-</w:t>
      </w:r>
      <w:r w:rsidR="00FF664A" w:rsidRPr="001A4C34">
        <w:rPr>
          <w:rFonts w:ascii="Times New Roman" w:hAnsi="Times New Roman"/>
          <w:b/>
          <w:sz w:val="24"/>
          <w:szCs w:val="24"/>
        </w:rPr>
        <w:t>16</w:t>
      </w:r>
    </w:p>
    <w:p w:rsidR="00E72A7A" w:rsidRPr="001A4C34" w:rsidRDefault="00E72A7A" w:rsidP="00DE1428">
      <w:pPr>
        <w:pStyle w:val="a3"/>
        <w:widowControl/>
        <w:tabs>
          <w:tab w:val="left" w:pos="360"/>
        </w:tabs>
        <w:ind w:firstLine="709"/>
        <w:jc w:val="center"/>
        <w:rPr>
          <w:rFonts w:asciiTheme="minorHAnsi" w:hAnsiTheme="minorHAnsi"/>
          <w:b/>
          <w:sz w:val="24"/>
          <w:szCs w:val="24"/>
        </w:rPr>
      </w:pPr>
    </w:p>
    <w:p w:rsidR="00E72A7A" w:rsidRPr="001A4C34" w:rsidRDefault="002F249A" w:rsidP="00DE1428">
      <w:pPr>
        <w:pStyle w:val="a3"/>
        <w:widowControl/>
        <w:tabs>
          <w:tab w:val="left" w:pos="360"/>
        </w:tabs>
        <w:ind w:firstLine="709"/>
        <w:rPr>
          <w:rFonts w:ascii="Times New Roman" w:hAnsi="Times New Roman"/>
          <w:b/>
          <w:sz w:val="24"/>
          <w:szCs w:val="24"/>
        </w:rPr>
      </w:pPr>
      <w:r w:rsidRPr="001A4C34">
        <w:rPr>
          <w:rFonts w:ascii="Times New Roman" w:hAnsi="Times New Roman"/>
          <w:sz w:val="24"/>
          <w:szCs w:val="24"/>
        </w:rPr>
        <w:t xml:space="preserve">Тема: </w:t>
      </w:r>
      <w:r w:rsidRPr="001A4C34">
        <w:rPr>
          <w:rFonts w:ascii="Times New Roman" w:hAnsi="Times New Roman"/>
          <w:b/>
          <w:sz w:val="24"/>
          <w:szCs w:val="24"/>
        </w:rPr>
        <w:t>«</w:t>
      </w:r>
      <w:r w:rsidR="00FF664A" w:rsidRPr="001A4C34">
        <w:rPr>
          <w:rFonts w:ascii="Times New Roman" w:hAnsi="Times New Roman"/>
          <w:b/>
          <w:sz w:val="24"/>
          <w:szCs w:val="24"/>
        </w:rPr>
        <w:t>Мобилизация и повышение качества человеческого капитала среднего класса и уязвимых групп населения</w:t>
      </w:r>
      <w:r w:rsidRPr="001A4C34">
        <w:rPr>
          <w:rFonts w:ascii="Times New Roman" w:hAnsi="Times New Roman"/>
          <w:b/>
          <w:sz w:val="24"/>
          <w:szCs w:val="24"/>
        </w:rPr>
        <w:t>»</w:t>
      </w:r>
    </w:p>
    <w:p w:rsidR="002F249A" w:rsidRPr="001A4C34" w:rsidRDefault="002F249A" w:rsidP="00DE1428">
      <w:pPr>
        <w:pStyle w:val="a3"/>
        <w:widowControl/>
        <w:tabs>
          <w:tab w:val="left" w:pos="360"/>
        </w:tabs>
        <w:ind w:firstLine="709"/>
        <w:rPr>
          <w:rFonts w:ascii="Times New Roman" w:hAnsi="Times New Roman"/>
          <w:sz w:val="24"/>
          <w:szCs w:val="24"/>
        </w:rPr>
      </w:pPr>
      <w:r w:rsidRPr="001A4C34">
        <w:rPr>
          <w:rFonts w:ascii="Times New Roman" w:hAnsi="Times New Roman"/>
          <w:sz w:val="24"/>
          <w:szCs w:val="24"/>
        </w:rPr>
        <w:t>Руководитель</w:t>
      </w:r>
      <w:r w:rsidR="001A39CE" w:rsidRPr="001A4C34">
        <w:rPr>
          <w:rFonts w:ascii="Times New Roman" w:hAnsi="Times New Roman"/>
          <w:sz w:val="24"/>
          <w:szCs w:val="24"/>
        </w:rPr>
        <w:t xml:space="preserve">: </w:t>
      </w:r>
      <w:r w:rsidR="00FF664A" w:rsidRPr="001A4C34">
        <w:rPr>
          <w:rFonts w:ascii="Times New Roman" w:hAnsi="Times New Roman"/>
          <w:sz w:val="24"/>
          <w:szCs w:val="24"/>
        </w:rPr>
        <w:t>О.В. Синявская</w:t>
      </w:r>
    </w:p>
    <w:p w:rsidR="002F249A" w:rsidRPr="001A4C34" w:rsidRDefault="00D91E1B" w:rsidP="00DE1428">
      <w:pPr>
        <w:pStyle w:val="a3"/>
        <w:widowControl/>
        <w:tabs>
          <w:tab w:val="left" w:pos="360"/>
        </w:tabs>
        <w:ind w:firstLine="709"/>
        <w:rPr>
          <w:rFonts w:ascii="Times New Roman" w:hAnsi="Times New Roman"/>
          <w:sz w:val="24"/>
          <w:szCs w:val="24"/>
        </w:rPr>
      </w:pPr>
      <w:r w:rsidRPr="001A4C34">
        <w:rPr>
          <w:rFonts w:ascii="Times New Roman" w:hAnsi="Times New Roman"/>
          <w:sz w:val="24"/>
          <w:szCs w:val="24"/>
        </w:rPr>
        <w:t>Наименование подразделения:</w:t>
      </w:r>
      <w:r w:rsidR="00FF664A" w:rsidRPr="001A4C34">
        <w:rPr>
          <w:rFonts w:ascii="Times New Roman" w:hAnsi="Times New Roman"/>
          <w:sz w:val="24"/>
          <w:szCs w:val="24"/>
        </w:rPr>
        <w:t xml:space="preserve"> Институт социальной политики</w:t>
      </w:r>
    </w:p>
    <w:p w:rsidR="00D91E1B" w:rsidRPr="001A4C34" w:rsidRDefault="00D91E1B" w:rsidP="00DE1428">
      <w:pPr>
        <w:pStyle w:val="a3"/>
        <w:widowControl/>
        <w:tabs>
          <w:tab w:val="left" w:pos="360"/>
        </w:tabs>
        <w:ind w:firstLine="709"/>
        <w:rPr>
          <w:rFonts w:ascii="Times New Roman" w:hAnsi="Times New Roman"/>
          <w:sz w:val="24"/>
          <w:szCs w:val="24"/>
        </w:rPr>
      </w:pPr>
    </w:p>
    <w:p w:rsidR="00C66A59" w:rsidRPr="001A4C34" w:rsidRDefault="00C66A59" w:rsidP="00C66A59">
      <w:pPr>
        <w:pStyle w:val="a9"/>
        <w:ind w:firstLine="709"/>
        <w:rPr>
          <w:sz w:val="24"/>
          <w:szCs w:val="24"/>
        </w:rPr>
      </w:pPr>
      <w:r w:rsidRPr="001A4C34">
        <w:rPr>
          <w:b/>
          <w:sz w:val="24"/>
          <w:szCs w:val="24"/>
        </w:rPr>
        <w:t xml:space="preserve">Объектом исследования </w:t>
      </w:r>
      <w:r w:rsidR="00AB74E8" w:rsidRPr="001A4C34">
        <w:rPr>
          <w:sz w:val="24"/>
          <w:szCs w:val="24"/>
        </w:rPr>
        <w:t>выступают человеческий капитал среднего класса и уязвимых групп населения, неравенство, социальная мобильность и социальная политика.</w:t>
      </w:r>
    </w:p>
    <w:p w:rsidR="00D91E1B" w:rsidRPr="001A4C34" w:rsidRDefault="00D91E1B" w:rsidP="00C66A59">
      <w:pPr>
        <w:pStyle w:val="a9"/>
        <w:ind w:firstLine="709"/>
        <w:rPr>
          <w:b/>
          <w:sz w:val="24"/>
          <w:szCs w:val="24"/>
        </w:rPr>
      </w:pPr>
      <w:r w:rsidRPr="001A4C34">
        <w:rPr>
          <w:b/>
          <w:sz w:val="24"/>
          <w:szCs w:val="24"/>
        </w:rPr>
        <w:t>Цель работы:</w:t>
      </w:r>
      <w:r w:rsidR="00FF664A" w:rsidRPr="001A4C34">
        <w:rPr>
          <w:sz w:val="24"/>
          <w:szCs w:val="24"/>
        </w:rPr>
        <w:t xml:space="preserve"> изучение процессов мобилизации и повышения качества человеческого капитала среднего класса и уязвимых групп населения.</w:t>
      </w:r>
    </w:p>
    <w:p w:rsidR="00931E66" w:rsidRPr="001A4C34" w:rsidRDefault="00931E66" w:rsidP="00C66A59">
      <w:pPr>
        <w:pStyle w:val="a9"/>
        <w:ind w:firstLine="709"/>
        <w:rPr>
          <w:sz w:val="24"/>
          <w:szCs w:val="24"/>
        </w:rPr>
      </w:pPr>
      <w:r w:rsidRPr="001A4C34">
        <w:rPr>
          <w:b/>
          <w:sz w:val="24"/>
          <w:szCs w:val="24"/>
        </w:rPr>
        <w:t>Используемые методы:</w:t>
      </w:r>
      <w:r w:rsidR="00C66A59" w:rsidRPr="001A4C34">
        <w:rPr>
          <w:b/>
          <w:sz w:val="24"/>
          <w:szCs w:val="24"/>
        </w:rPr>
        <w:t xml:space="preserve"> </w:t>
      </w:r>
      <w:r w:rsidR="00C66A59" w:rsidRPr="001A4C34">
        <w:rPr>
          <w:sz w:val="24"/>
          <w:szCs w:val="24"/>
        </w:rPr>
        <w:t>кабинетное исследование, теоретико-методологический анализ российских и зарубежных публикаций; дескриптивный, многомерный статистический и эконометрический анализ микро-данных выборочных обследований населения; анализ качественных социологических данных; различные методы микромоделирования (микросимуляций).</w:t>
      </w:r>
    </w:p>
    <w:p w:rsidR="006C4519" w:rsidRPr="001A4C34" w:rsidRDefault="00D91E1B" w:rsidP="00C66A59">
      <w:pPr>
        <w:pStyle w:val="a9"/>
        <w:ind w:firstLine="709"/>
        <w:rPr>
          <w:sz w:val="24"/>
          <w:szCs w:val="24"/>
        </w:rPr>
      </w:pPr>
      <w:r w:rsidRPr="001A4C34">
        <w:rPr>
          <w:b/>
          <w:sz w:val="24"/>
          <w:szCs w:val="24"/>
        </w:rPr>
        <w:t>Эмпирическ</w:t>
      </w:r>
      <w:r w:rsidR="00576728" w:rsidRPr="001A4C34">
        <w:rPr>
          <w:b/>
          <w:sz w:val="24"/>
          <w:szCs w:val="24"/>
        </w:rPr>
        <w:t>ая</w:t>
      </w:r>
      <w:r w:rsidRPr="001A4C34">
        <w:rPr>
          <w:b/>
          <w:sz w:val="24"/>
          <w:szCs w:val="24"/>
        </w:rPr>
        <w:t xml:space="preserve"> баз</w:t>
      </w:r>
      <w:r w:rsidR="00576728" w:rsidRPr="001A4C34">
        <w:rPr>
          <w:b/>
          <w:sz w:val="24"/>
          <w:szCs w:val="24"/>
        </w:rPr>
        <w:t>а</w:t>
      </w:r>
      <w:r w:rsidRPr="001A4C34">
        <w:rPr>
          <w:b/>
          <w:sz w:val="24"/>
          <w:szCs w:val="24"/>
        </w:rPr>
        <w:t xml:space="preserve"> исследования:</w:t>
      </w:r>
      <w:r w:rsidR="00576728" w:rsidRPr="001A4C34">
        <w:rPr>
          <w:b/>
          <w:sz w:val="24"/>
          <w:szCs w:val="24"/>
        </w:rPr>
        <w:t xml:space="preserve"> </w:t>
      </w:r>
      <w:r w:rsidR="00C66A59" w:rsidRPr="001A4C34">
        <w:rPr>
          <w:sz w:val="24"/>
          <w:szCs w:val="24"/>
        </w:rPr>
        <w:t xml:space="preserve">Многие оценки, представленные в последующих разделах, получены с использованием различных волн (1994-2018 гг.) лонгитюдного обследования Российский мониторинг экономического положения и здоровья населения НИУ ВШЭ (РМЭЗ-ВШЭ), а также его панельной составляющей за 2009-2017 гг. Наряду с этим использовались микроданные таких выборочных обследований как: </w:t>
      </w:r>
      <w:r w:rsidR="000F4DA9" w:rsidRPr="001A4C34">
        <w:rPr>
          <w:sz w:val="24"/>
          <w:szCs w:val="24"/>
        </w:rPr>
        <w:t>опрос, проведенный Левада-центром</w:t>
      </w:r>
      <w:r w:rsidR="00AF0903">
        <w:rPr>
          <w:rStyle w:val="ae"/>
          <w:sz w:val="24"/>
          <w:szCs w:val="24"/>
        </w:rPr>
        <w:footnoteReference w:id="1"/>
      </w:r>
      <w:r w:rsidR="000F4DA9" w:rsidRPr="001A4C34">
        <w:rPr>
          <w:sz w:val="24"/>
          <w:szCs w:val="24"/>
        </w:rPr>
        <w:t xml:space="preserve"> в январе 2019 г.</w:t>
      </w:r>
      <w:r w:rsidR="00C66A59" w:rsidRPr="001A4C34">
        <w:rPr>
          <w:sz w:val="24"/>
          <w:szCs w:val="24"/>
        </w:rPr>
        <w:t xml:space="preserve">; </w:t>
      </w:r>
      <w:r w:rsidR="003B5E48" w:rsidRPr="001A4C34">
        <w:rPr>
          <w:sz w:val="24"/>
          <w:szCs w:val="24"/>
        </w:rPr>
        <w:t>Международн</w:t>
      </w:r>
      <w:r w:rsidR="00C66A59" w:rsidRPr="001A4C34">
        <w:rPr>
          <w:sz w:val="24"/>
          <w:szCs w:val="24"/>
        </w:rPr>
        <w:t>ое</w:t>
      </w:r>
      <w:r w:rsidR="003B5E48" w:rsidRPr="001A4C34">
        <w:rPr>
          <w:sz w:val="24"/>
          <w:szCs w:val="24"/>
        </w:rPr>
        <w:t xml:space="preserve"> социально</w:t>
      </w:r>
      <w:r w:rsidR="00C66A59" w:rsidRPr="001A4C34">
        <w:rPr>
          <w:sz w:val="24"/>
          <w:szCs w:val="24"/>
        </w:rPr>
        <w:t>е</w:t>
      </w:r>
      <w:r w:rsidR="003B5E48" w:rsidRPr="001A4C34">
        <w:rPr>
          <w:sz w:val="24"/>
          <w:szCs w:val="24"/>
        </w:rPr>
        <w:t xml:space="preserve"> исследовани</w:t>
      </w:r>
      <w:r w:rsidR="00C66A59" w:rsidRPr="001A4C34">
        <w:rPr>
          <w:sz w:val="24"/>
          <w:szCs w:val="24"/>
        </w:rPr>
        <w:t>е</w:t>
      </w:r>
      <w:r w:rsidR="003B5E48" w:rsidRPr="001A4C34">
        <w:rPr>
          <w:sz w:val="24"/>
          <w:szCs w:val="24"/>
        </w:rPr>
        <w:t xml:space="preserve"> (</w:t>
      </w:r>
      <w:r w:rsidR="003B5E48" w:rsidRPr="001A4C34">
        <w:rPr>
          <w:sz w:val="24"/>
          <w:szCs w:val="24"/>
          <w:lang w:val="en-US"/>
        </w:rPr>
        <w:t>ISSP</w:t>
      </w:r>
      <w:r w:rsidR="003B5E48" w:rsidRPr="001A4C34">
        <w:rPr>
          <w:sz w:val="24"/>
          <w:szCs w:val="24"/>
        </w:rPr>
        <w:t>) за 2019 г.</w:t>
      </w:r>
      <w:r w:rsidR="00C66A59" w:rsidRPr="001A4C34">
        <w:rPr>
          <w:sz w:val="24"/>
          <w:szCs w:val="24"/>
        </w:rPr>
        <w:t xml:space="preserve">; </w:t>
      </w:r>
      <w:r w:rsidR="003B5E48" w:rsidRPr="001A4C34">
        <w:rPr>
          <w:rFonts w:eastAsia="Calibri"/>
          <w:sz w:val="24"/>
          <w:szCs w:val="24"/>
          <w:lang w:eastAsia="en-US"/>
        </w:rPr>
        <w:t>Европейск</w:t>
      </w:r>
      <w:r w:rsidR="00C66A59" w:rsidRPr="001A4C34">
        <w:rPr>
          <w:rFonts w:eastAsia="Calibri"/>
          <w:sz w:val="24"/>
          <w:szCs w:val="24"/>
          <w:lang w:eastAsia="en-US"/>
        </w:rPr>
        <w:t>ое</w:t>
      </w:r>
      <w:r w:rsidR="003B5E48" w:rsidRPr="001A4C34">
        <w:rPr>
          <w:rFonts w:eastAsia="Calibri"/>
          <w:sz w:val="24"/>
          <w:szCs w:val="24"/>
          <w:lang w:eastAsia="en-US"/>
        </w:rPr>
        <w:t xml:space="preserve"> </w:t>
      </w:r>
      <w:r w:rsidR="00C66A59" w:rsidRPr="001A4C34">
        <w:rPr>
          <w:rFonts w:eastAsia="Calibri"/>
          <w:sz w:val="24"/>
          <w:szCs w:val="24"/>
          <w:lang w:eastAsia="en-US"/>
        </w:rPr>
        <w:t>обследование</w:t>
      </w:r>
      <w:r w:rsidR="003B5E48" w:rsidRPr="001A4C34">
        <w:rPr>
          <w:rFonts w:eastAsia="Calibri"/>
          <w:sz w:val="24"/>
          <w:szCs w:val="24"/>
          <w:lang w:eastAsia="en-US"/>
        </w:rPr>
        <w:t xml:space="preserve"> доходов и условий жизни (EU-SILC) и Обследовани</w:t>
      </w:r>
      <w:r w:rsidR="00C66A59" w:rsidRPr="001A4C34">
        <w:rPr>
          <w:rFonts w:eastAsia="Calibri"/>
          <w:sz w:val="24"/>
          <w:szCs w:val="24"/>
          <w:lang w:eastAsia="en-US"/>
        </w:rPr>
        <w:t>е</w:t>
      </w:r>
      <w:r w:rsidR="003B5E48" w:rsidRPr="001A4C34">
        <w:rPr>
          <w:rFonts w:eastAsia="Calibri"/>
          <w:sz w:val="24"/>
          <w:szCs w:val="24"/>
          <w:lang w:eastAsia="en-US"/>
        </w:rPr>
        <w:t xml:space="preserve"> семейных ресурсов (</w:t>
      </w:r>
      <w:r w:rsidR="003B5E48" w:rsidRPr="001A4C34">
        <w:rPr>
          <w:rFonts w:eastAsia="Calibri"/>
          <w:sz w:val="24"/>
          <w:szCs w:val="24"/>
          <w:lang w:val="en-US" w:eastAsia="en-US"/>
        </w:rPr>
        <w:t>Family</w:t>
      </w:r>
      <w:r w:rsidR="003B5E48" w:rsidRPr="001A4C34">
        <w:rPr>
          <w:rFonts w:eastAsia="Calibri"/>
          <w:sz w:val="24"/>
          <w:szCs w:val="24"/>
          <w:lang w:eastAsia="en-US"/>
        </w:rPr>
        <w:t xml:space="preserve"> </w:t>
      </w:r>
      <w:r w:rsidR="003B5E48" w:rsidRPr="001A4C34">
        <w:rPr>
          <w:rFonts w:eastAsia="Calibri"/>
          <w:sz w:val="24"/>
          <w:szCs w:val="24"/>
          <w:lang w:val="en-US" w:eastAsia="en-US"/>
        </w:rPr>
        <w:t>Resource</w:t>
      </w:r>
      <w:r w:rsidR="003B5E48" w:rsidRPr="001A4C34">
        <w:rPr>
          <w:rFonts w:eastAsia="Calibri"/>
          <w:sz w:val="24"/>
          <w:szCs w:val="24"/>
          <w:lang w:eastAsia="en-US"/>
        </w:rPr>
        <w:t xml:space="preserve"> </w:t>
      </w:r>
      <w:r w:rsidR="003B5E48" w:rsidRPr="001A4C34">
        <w:rPr>
          <w:rFonts w:eastAsia="Calibri"/>
          <w:sz w:val="24"/>
          <w:szCs w:val="24"/>
          <w:lang w:val="en-US" w:eastAsia="en-US"/>
        </w:rPr>
        <w:t>Survey</w:t>
      </w:r>
      <w:r w:rsidR="003B5E48" w:rsidRPr="001A4C34">
        <w:rPr>
          <w:rFonts w:eastAsia="Calibri"/>
          <w:sz w:val="24"/>
          <w:szCs w:val="24"/>
          <w:lang w:eastAsia="en-US"/>
        </w:rPr>
        <w:t>)</w:t>
      </w:r>
      <w:r w:rsidR="00C66A59" w:rsidRPr="001A4C34">
        <w:rPr>
          <w:rFonts w:eastAsia="Calibri"/>
          <w:sz w:val="24"/>
          <w:szCs w:val="24"/>
          <w:lang w:eastAsia="en-US"/>
        </w:rPr>
        <w:t xml:space="preserve">; </w:t>
      </w:r>
      <w:r w:rsidR="006C4519" w:rsidRPr="001A4C34">
        <w:rPr>
          <w:rFonts w:eastAsia="Calibri"/>
          <w:sz w:val="24"/>
          <w:szCs w:val="24"/>
          <w:lang w:eastAsia="en-US"/>
        </w:rPr>
        <w:t>специализированн</w:t>
      </w:r>
      <w:r w:rsidR="00C66A59" w:rsidRPr="001A4C34">
        <w:rPr>
          <w:rFonts w:eastAsia="Calibri"/>
          <w:sz w:val="24"/>
          <w:szCs w:val="24"/>
          <w:lang w:eastAsia="en-US"/>
        </w:rPr>
        <w:t>ый</w:t>
      </w:r>
      <w:r w:rsidR="006C4519" w:rsidRPr="001A4C34">
        <w:rPr>
          <w:rFonts w:eastAsia="Calibri"/>
          <w:sz w:val="24"/>
          <w:szCs w:val="24"/>
          <w:lang w:eastAsia="en-US"/>
        </w:rPr>
        <w:t xml:space="preserve"> опрос среднего класса в России «Средний класс: готовность инвестировать в развитие человеческого капитала»</w:t>
      </w:r>
      <w:r w:rsidR="00C66A59" w:rsidRPr="001A4C34">
        <w:rPr>
          <w:rFonts w:eastAsia="Calibri"/>
          <w:sz w:val="24"/>
          <w:szCs w:val="24"/>
          <w:lang w:eastAsia="en-US"/>
        </w:rPr>
        <w:t xml:space="preserve"> (</w:t>
      </w:r>
      <w:r w:rsidR="006C4519" w:rsidRPr="001A4C34">
        <w:rPr>
          <w:rFonts w:eastAsia="Calibri"/>
          <w:sz w:val="24"/>
          <w:szCs w:val="24"/>
          <w:lang w:eastAsia="en-US"/>
        </w:rPr>
        <w:t>осень</w:t>
      </w:r>
      <w:r w:rsidR="00C66A59" w:rsidRPr="001A4C34">
        <w:rPr>
          <w:rFonts w:eastAsia="Calibri"/>
          <w:sz w:val="24"/>
          <w:szCs w:val="24"/>
          <w:lang w:eastAsia="en-US"/>
        </w:rPr>
        <w:t xml:space="preserve"> 2018 г.); </w:t>
      </w:r>
      <w:r w:rsidR="00C66A59" w:rsidRPr="001A4C34">
        <w:rPr>
          <w:sz w:val="24"/>
          <w:szCs w:val="24"/>
        </w:rPr>
        <w:t xml:space="preserve">Выборочное наблюдение качества и доступности услуг в сферах образования, здравоохранения и социального обслуживания, содействия занятости населения </w:t>
      </w:r>
      <w:r w:rsidR="00C66A59" w:rsidRPr="001A4C34">
        <w:rPr>
          <w:sz w:val="24"/>
          <w:szCs w:val="24"/>
        </w:rPr>
        <w:lastRenderedPageBreak/>
        <w:t xml:space="preserve">(2017 г.); Комплексное наблюдение условий жизни населения (2016 г.); Выборочное наблюдение доходов населения и участия в социальных программах (2017 г.); Выборочное наблюдение репродуктивных планов населения </w:t>
      </w:r>
      <w:r w:rsidR="00C66A59" w:rsidRPr="001A4C34">
        <w:rPr>
          <w:bCs/>
          <w:sz w:val="24"/>
          <w:szCs w:val="24"/>
        </w:rPr>
        <w:t xml:space="preserve">2012 и 2017 гг.; </w:t>
      </w:r>
      <w:r w:rsidR="00C66A59" w:rsidRPr="001A4C34">
        <w:rPr>
          <w:sz w:val="24"/>
          <w:szCs w:val="24"/>
        </w:rPr>
        <w:t>международное обследование «Поколения и гендер»; опрос «Инструмент общественно-профессиональной оценки инклюзивнос</w:t>
      </w:r>
      <w:r w:rsidR="00222A6D" w:rsidRPr="001A4C34">
        <w:rPr>
          <w:sz w:val="24"/>
          <w:szCs w:val="24"/>
        </w:rPr>
        <w:t>ти школ». Для реш</w:t>
      </w:r>
      <w:r w:rsidR="00C66A59" w:rsidRPr="001A4C34">
        <w:rPr>
          <w:sz w:val="24"/>
          <w:szCs w:val="24"/>
        </w:rPr>
        <w:t xml:space="preserve">ения ряда задач исследования применялись результаты качественных исследований, включая материалы фокус-групп «Установки и модели репродуктивного поведения» (2017 г.); качественное исследование </w:t>
      </w:r>
      <w:r w:rsidR="001A4C34" w:rsidRPr="001A4C34">
        <w:rPr>
          <w:sz w:val="24"/>
          <w:szCs w:val="24"/>
        </w:rPr>
        <w:t xml:space="preserve">мигрантов </w:t>
      </w:r>
      <w:r w:rsidR="00C66A59" w:rsidRPr="001A4C34">
        <w:rPr>
          <w:sz w:val="24"/>
          <w:szCs w:val="24"/>
        </w:rPr>
        <w:t>2019 г.; полуформализованные интервью с участниками образовательного процесса</w:t>
      </w:r>
      <w:r w:rsidR="00222A6D" w:rsidRPr="001A4C34">
        <w:rPr>
          <w:sz w:val="24"/>
          <w:szCs w:val="24"/>
        </w:rPr>
        <w:t>.</w:t>
      </w:r>
      <w:r w:rsidR="00C66A59" w:rsidRPr="001A4C34">
        <w:rPr>
          <w:sz w:val="24"/>
          <w:szCs w:val="24"/>
        </w:rPr>
        <w:t xml:space="preserve"> </w:t>
      </w:r>
      <w:r w:rsidR="00C66A59" w:rsidRPr="001A4C34">
        <w:rPr>
          <w:sz w:val="24"/>
          <w:szCs w:val="24"/>
          <w:shd w:val="clear" w:color="auto" w:fill="FFFFFF"/>
        </w:rPr>
        <w:t xml:space="preserve">Дополнительно были использованы </w:t>
      </w:r>
      <w:r w:rsidR="006C4519" w:rsidRPr="001A4C34">
        <w:rPr>
          <w:sz w:val="24"/>
          <w:szCs w:val="24"/>
        </w:rPr>
        <w:t>материалы нормативных правовых актов (НПА) Российской Федерации и субъектов Российской Федерации</w:t>
      </w:r>
      <w:r w:rsidR="00C66A59" w:rsidRPr="001A4C34">
        <w:rPr>
          <w:sz w:val="24"/>
          <w:szCs w:val="24"/>
        </w:rPr>
        <w:t>.</w:t>
      </w:r>
    </w:p>
    <w:p w:rsidR="00C66A59" w:rsidRPr="001A4C34" w:rsidRDefault="00D91E1B" w:rsidP="00CD00F6">
      <w:pPr>
        <w:pStyle w:val="a9"/>
        <w:ind w:firstLine="709"/>
        <w:rPr>
          <w:sz w:val="24"/>
          <w:szCs w:val="24"/>
        </w:rPr>
      </w:pPr>
      <w:r w:rsidRPr="001A4C34">
        <w:rPr>
          <w:b/>
          <w:sz w:val="24"/>
          <w:szCs w:val="24"/>
        </w:rPr>
        <w:t>Результаты работы:</w:t>
      </w:r>
      <w:r w:rsidR="00576728" w:rsidRPr="001A4C34">
        <w:rPr>
          <w:b/>
          <w:sz w:val="24"/>
          <w:szCs w:val="24"/>
        </w:rPr>
        <w:t xml:space="preserve"> </w:t>
      </w:r>
      <w:r w:rsidR="00C66A59" w:rsidRPr="001A4C34">
        <w:rPr>
          <w:sz w:val="24"/>
          <w:szCs w:val="24"/>
        </w:rPr>
        <w:t>Среди всех результатов исследования следующие могут быть раскрыты более подробно:</w:t>
      </w:r>
    </w:p>
    <w:p w:rsidR="003A73C9" w:rsidRPr="001A4C34" w:rsidRDefault="003A73C9" w:rsidP="00C66A59">
      <w:pPr>
        <w:pStyle w:val="a9"/>
        <w:ind w:firstLine="709"/>
        <w:outlineLvl w:val="0"/>
        <w:rPr>
          <w:sz w:val="24"/>
          <w:szCs w:val="24"/>
        </w:rPr>
      </w:pPr>
      <w:r w:rsidRPr="001A4C34">
        <w:rPr>
          <w:sz w:val="24"/>
          <w:szCs w:val="24"/>
        </w:rPr>
        <w:t>1</w:t>
      </w:r>
      <w:r w:rsidR="00AB74E8" w:rsidRPr="001A4C34">
        <w:rPr>
          <w:sz w:val="24"/>
          <w:szCs w:val="24"/>
        </w:rPr>
        <w:t>.</w:t>
      </w:r>
      <w:r w:rsidRPr="001A4C34">
        <w:rPr>
          <w:sz w:val="24"/>
          <w:szCs w:val="24"/>
        </w:rPr>
        <w:t xml:space="preserve"> Анализ относительной мобильности россиян между квинтилями по доходам на 9-летнем интервале свидетельствует о близости России по характеру доходной мобильности к развивающи</w:t>
      </w:r>
      <w:bookmarkStart w:id="0" w:name="_GoBack"/>
      <w:bookmarkEnd w:id="0"/>
      <w:r w:rsidRPr="001A4C34">
        <w:rPr>
          <w:sz w:val="24"/>
          <w:szCs w:val="24"/>
        </w:rPr>
        <w:t>мся странам. По сравнению с усредненными данными по ОЭСР, в долгосрочном периоде ситуация в России характеризуется схожими масштабами «липкости пола» (иммобильного по доходам населения в первом квинтиле), но более низкими масштабами «липкости потолка» (иммобильного по доходам населения в пятом квинтиле), что подчеркивает общую неустойчивость монетарного благополучия в массовых слоях населения. Лишь 11,9% населения характеризовались устойчивой восходящей или нисходящей мобильностью на 9-летнем интервале. В численности населения удельный вес устойчиво неблагополучных по текущим доходам групп составил 6,6%, а устойчиво благополучных – 4,6%. Рискам затяжного неблагополучия в наибольшей степени подвержены дети из многодетных семей, в особенности те, из них, которые проживают в сельской местности; одинокие россияне (особенно одинокие пенсионеры), а также трудоспособное население, занимающее нестабильные рабочие позиции - в первую очередь, работники неквалифицированного физического труда.</w:t>
      </w:r>
    </w:p>
    <w:p w:rsidR="003A73C9" w:rsidRPr="001A4C34" w:rsidRDefault="003A73C9" w:rsidP="00C66A59">
      <w:pPr>
        <w:pStyle w:val="a9"/>
        <w:ind w:firstLine="709"/>
        <w:outlineLvl w:val="0"/>
        <w:rPr>
          <w:sz w:val="24"/>
          <w:szCs w:val="24"/>
        </w:rPr>
      </w:pPr>
      <w:r w:rsidRPr="001A4C34">
        <w:rPr>
          <w:sz w:val="24"/>
          <w:szCs w:val="24"/>
        </w:rPr>
        <w:lastRenderedPageBreak/>
        <w:t>2</w:t>
      </w:r>
      <w:r w:rsidR="00AB74E8" w:rsidRPr="001A4C34">
        <w:rPr>
          <w:sz w:val="24"/>
          <w:szCs w:val="24"/>
        </w:rPr>
        <w:t>.</w:t>
      </w:r>
      <w:r w:rsidRPr="001A4C34">
        <w:rPr>
          <w:sz w:val="24"/>
          <w:szCs w:val="24"/>
        </w:rPr>
        <w:t xml:space="preserve"> Культурный капитал работника оказывает значимое влияние на место человека в системе социально-экономических неравенств в современной России. При этом если человеческий капитал влияет прежде всего на доходы и, соответственно, уровень жизни людей, то культурный капитал влияет в бóльшей степени на качество их рабочих мест даже в рамках одних и тех же профессиональных групп и, соответственно, на качество их жизни в целом. Несмотря на сохраняющуюся открытость структуры российского общества и достаточно большие масштабы межгенерационной профессиональной мобильности в разных поколениях и у выходцев из разных по профессиональному статусу родителей типов семей, институт социального воспроизводства оказывает сильное влияние на возможности межпоколенной мобильности в России. Для наиболее неблагополучных слоев (выходцев из семей рабочих и рядовых работников торговли и бытового обслуживания) характерно «застревание» на нижних позициях в профессиональной иерархии. Поэтому при планировании государственной социальной политики необходимо учитывать влияние на место человека на рынке труда обоих инкорпорированных видов капитала, - и человеческого, и культурного.</w:t>
      </w:r>
    </w:p>
    <w:p w:rsidR="003A73C9" w:rsidRPr="001A4C34" w:rsidRDefault="003A73C9" w:rsidP="00C66A59">
      <w:pPr>
        <w:pStyle w:val="a9"/>
        <w:ind w:firstLine="709"/>
        <w:outlineLvl w:val="0"/>
        <w:rPr>
          <w:sz w:val="24"/>
          <w:szCs w:val="24"/>
        </w:rPr>
      </w:pPr>
      <w:r w:rsidRPr="001A4C34">
        <w:rPr>
          <w:sz w:val="24"/>
          <w:szCs w:val="24"/>
        </w:rPr>
        <w:t>3</w:t>
      </w:r>
      <w:r w:rsidR="00AB74E8" w:rsidRPr="001A4C34">
        <w:rPr>
          <w:sz w:val="24"/>
          <w:szCs w:val="24"/>
        </w:rPr>
        <w:t>.</w:t>
      </w:r>
      <w:r w:rsidRPr="001A4C34">
        <w:rPr>
          <w:sz w:val="24"/>
          <w:szCs w:val="24"/>
        </w:rPr>
        <w:t xml:space="preserve"> Субъективная оценка положения россиян в целом соответствует тренду «негативной стабилизации», что наблюдается в стране после кризиса 2014 г.: доля тех, кто фиксирует в своем положении негативную динамику в 2,5 раза превышают долю тех, кто дает ей позитивные оценки (27% и 10% соответственно). Негативная динамика последних 5 лет «откинула» россиян на позиции, приближающиеся к положению их родителей, в 2019 г. межгенерационная мобильность может оцениваться уже </w:t>
      </w:r>
      <w:proofErr w:type="gramStart"/>
      <w:r w:rsidRPr="001A4C34">
        <w:rPr>
          <w:sz w:val="24"/>
          <w:szCs w:val="24"/>
        </w:rPr>
        <w:t>скорее</w:t>
      </w:r>
      <w:proofErr w:type="gramEnd"/>
      <w:r w:rsidRPr="001A4C34">
        <w:rPr>
          <w:sz w:val="24"/>
          <w:szCs w:val="24"/>
        </w:rPr>
        <w:t xml:space="preserve"> как отрицательная (с двукратным превышением отрицательных оценок над положительными). Низкие возможности восходящей мобильности и массовая нисходящая мобильность способны генерировать дополнительные запросы к социальной политике. «Стекание» субъективных оценок статуса вниз за последние 5 лет привело к тому, что актуализируется запрос на сокращение неравенства, а не «отладку лифтов». Таким образом, текущее состояние социальной структуры и системы социальных статусов первоочередно </w:t>
      </w:r>
      <w:r w:rsidRPr="001A4C34">
        <w:rPr>
          <w:sz w:val="24"/>
          <w:szCs w:val="24"/>
        </w:rPr>
        <w:lastRenderedPageBreak/>
        <w:t>требует работоспособности инструментов, которые позволят реализовывать мобильность «снизу в середину».</w:t>
      </w:r>
    </w:p>
    <w:p w:rsidR="00402000" w:rsidRPr="001A4C34" w:rsidRDefault="00402000" w:rsidP="00C66A59">
      <w:pPr>
        <w:pStyle w:val="a9"/>
        <w:ind w:firstLine="709"/>
        <w:outlineLvl w:val="0"/>
        <w:rPr>
          <w:sz w:val="24"/>
          <w:szCs w:val="24"/>
        </w:rPr>
      </w:pPr>
      <w:r w:rsidRPr="001A4C34">
        <w:rPr>
          <w:sz w:val="24"/>
          <w:szCs w:val="24"/>
        </w:rPr>
        <w:t>4</w:t>
      </w:r>
      <w:r w:rsidR="00AB74E8" w:rsidRPr="001A4C34">
        <w:rPr>
          <w:sz w:val="24"/>
          <w:szCs w:val="24"/>
        </w:rPr>
        <w:t>.</w:t>
      </w:r>
      <w:r w:rsidRPr="001A4C34">
        <w:rPr>
          <w:sz w:val="24"/>
          <w:szCs w:val="24"/>
        </w:rPr>
        <w:t xml:space="preserve"> </w:t>
      </w:r>
      <w:r w:rsidR="00AB74E8" w:rsidRPr="001A4C34">
        <w:rPr>
          <w:sz w:val="24"/>
          <w:szCs w:val="24"/>
        </w:rPr>
        <w:t>А</w:t>
      </w:r>
      <w:r w:rsidRPr="001A4C34">
        <w:rPr>
          <w:sz w:val="24"/>
          <w:szCs w:val="24"/>
        </w:rPr>
        <w:t>даптаци</w:t>
      </w:r>
      <w:r w:rsidR="00AB74E8" w:rsidRPr="001A4C34">
        <w:rPr>
          <w:sz w:val="24"/>
          <w:szCs w:val="24"/>
        </w:rPr>
        <w:t>я</w:t>
      </w:r>
      <w:r w:rsidRPr="001A4C34">
        <w:rPr>
          <w:sz w:val="24"/>
          <w:szCs w:val="24"/>
        </w:rPr>
        <w:t xml:space="preserve"> к бедности в России</w:t>
      </w:r>
      <w:r w:rsidR="00AB74E8" w:rsidRPr="001A4C34">
        <w:rPr>
          <w:sz w:val="24"/>
          <w:szCs w:val="24"/>
        </w:rPr>
        <w:t xml:space="preserve"> отсутствует</w:t>
      </w:r>
      <w:r w:rsidRPr="001A4C34">
        <w:rPr>
          <w:sz w:val="24"/>
          <w:szCs w:val="24"/>
        </w:rPr>
        <w:t>: более длительное пребывание в бедности связано с более низким субъективным благополучием населения. При этом адаптационное поведение населения различается в зависимости от места проживания, места рождения, длительности нахождения в бедности и частоты попадания в бедность.</w:t>
      </w:r>
    </w:p>
    <w:p w:rsidR="00402000" w:rsidRPr="001A4C34" w:rsidRDefault="00402000" w:rsidP="00C66A59">
      <w:pPr>
        <w:pStyle w:val="a9"/>
        <w:ind w:firstLine="709"/>
        <w:outlineLvl w:val="0"/>
        <w:rPr>
          <w:sz w:val="24"/>
          <w:szCs w:val="24"/>
        </w:rPr>
      </w:pPr>
      <w:r w:rsidRPr="001A4C34">
        <w:rPr>
          <w:sz w:val="24"/>
          <w:szCs w:val="24"/>
        </w:rPr>
        <w:t>5</w:t>
      </w:r>
      <w:r w:rsidR="00AB74E8" w:rsidRPr="001A4C34">
        <w:rPr>
          <w:sz w:val="24"/>
          <w:szCs w:val="24"/>
        </w:rPr>
        <w:t>.</w:t>
      </w:r>
      <w:r w:rsidRPr="001A4C34">
        <w:rPr>
          <w:sz w:val="24"/>
          <w:szCs w:val="24"/>
        </w:rPr>
        <w:t xml:space="preserve"> Средний класс демонстрирует позитивное отношение к инновациям и приветствует внедрение новейших технологических разработок в самых разных сферах (образование, медицина, сельское хозяйство, производство товаров и пр.). Причем, представители этого слоя общества оказываются в данном контексте более продвинутыми, чем другие слои населения. Практики использования инноваций (на примере обращения к услугам разного рода посредством Интернета) больше распространены среди представителей среднего класса, чем в среднем у населения, особенно – в том, что касается интернет-консультаций со специалистами других областей (юристами, психологами и пр.). В целом данные исследования позволяют говорить о неоднородности среднего класса в контексте принятия инноваций, что в условиях запроса на определение социальных групп-драйверов национального развития дает основания использовать инновативность в качестве дополнительного или даже самостоятельного стратификационного признака.</w:t>
      </w:r>
    </w:p>
    <w:p w:rsidR="00AB74E8" w:rsidRPr="001A4C34" w:rsidRDefault="00AB74E8" w:rsidP="00C66A59">
      <w:pPr>
        <w:pStyle w:val="a9"/>
        <w:ind w:firstLine="709"/>
        <w:outlineLvl w:val="0"/>
        <w:rPr>
          <w:sz w:val="24"/>
          <w:szCs w:val="24"/>
        </w:rPr>
      </w:pPr>
      <w:r w:rsidRPr="001A4C34">
        <w:rPr>
          <w:sz w:val="24"/>
          <w:szCs w:val="24"/>
        </w:rPr>
        <w:t xml:space="preserve">6. Оценки качества жизни на данных Индекса качества жизни старшего поколения (ИКЖСП) со скорректированными весами свидетельствуют о том, что объемы накопленного человеческого капитала значимо связаны с показателями качества жизни в старшем возрасте. Наиболее высоким качеством жизни характеризуются более «молодые» пожилые с высшим образованием и достаточно высокими доходами, проживающие в городской местности, имеющие партнера. Соответственно, более низкое качество жизни присуще одиноким пожилым людям с невысоким уровнем образования и низкими доходами. Сопоставление оценок, полученных с использованием различных индексов качества жизни и активного долголетия, включая международные, показало, что плохое состояние здоровья </w:t>
      </w:r>
      <w:r w:rsidRPr="001A4C34">
        <w:rPr>
          <w:sz w:val="24"/>
          <w:szCs w:val="24"/>
        </w:rPr>
        <w:lastRenderedPageBreak/>
        <w:t>является ключевым барьером роста потенциала к активному долголетию. Тем не менее, возможности лиц старшего поколения в России значительно улучшились после 2000 г., в т.ч. за счет улучшения состояния здоровья и повышения уровня образования. При этом предоставляемые государством гарантии по укреплению здоровья более равномерно распределены между детьми до 3 лет, чем между лицами старшего возраста, для которых характерна низкая доступность возможностей по восстановлению здоровья с помощью мер социальной поддержки. Таким образом, особого внимания правительства требуют ограниченная доступность и невысокое качество предоставляемой медицинской помощи и социального обслуживания, транспортная инфраструктура, благоприятная среда для старшего поколения в целом.</w:t>
      </w:r>
    </w:p>
    <w:p w:rsidR="00402000" w:rsidRPr="001A4C34" w:rsidRDefault="00AB74E8" w:rsidP="00C66A59">
      <w:pPr>
        <w:pStyle w:val="a9"/>
        <w:ind w:firstLine="709"/>
        <w:outlineLvl w:val="0"/>
        <w:rPr>
          <w:sz w:val="24"/>
          <w:szCs w:val="24"/>
        </w:rPr>
      </w:pPr>
      <w:r w:rsidRPr="001A4C34">
        <w:rPr>
          <w:sz w:val="24"/>
          <w:szCs w:val="24"/>
        </w:rPr>
        <w:t xml:space="preserve">7. </w:t>
      </w:r>
      <w:r w:rsidR="00402000" w:rsidRPr="001A4C34">
        <w:rPr>
          <w:sz w:val="24"/>
          <w:szCs w:val="24"/>
        </w:rPr>
        <w:t xml:space="preserve">Приток трудовых мигрантов в Россию делает все более актуальным вопросы включения их в российское общество и влияния на социальную инфраструктуру городов.  Результаты исследования показали, что школы, в которых концентрируются дети, для которых русский язык является не родным, и которые имеют статус школы «со сложным социальным контекстом», как правило расположены не в определенных «мигрантских» изолированных районах (как в Европе или США), а в бывших «рабочих» кварталах, сформировавшихся в середине прошлого века. Эти школы, зачастую сталкивающиеся с недобором учащихся, являются той городской инфраструктурой, которой могут или вынуждены пользоваться низкостатусные мигранты. Будучи долгие годы учебным заведением для детей из </w:t>
      </w:r>
      <w:proofErr w:type="spellStart"/>
      <w:r w:rsidR="00402000" w:rsidRPr="001A4C34">
        <w:rPr>
          <w:sz w:val="24"/>
          <w:szCs w:val="24"/>
        </w:rPr>
        <w:t>низкостатусных</w:t>
      </w:r>
      <w:proofErr w:type="spellEnd"/>
      <w:r w:rsidR="00402000" w:rsidRPr="001A4C34">
        <w:rPr>
          <w:sz w:val="24"/>
          <w:szCs w:val="24"/>
        </w:rPr>
        <w:t xml:space="preserve"> семей, школа является местом, куда притягиваются дети рабочих мигрантов: это результат неформальных стратегий школ района, а также родителей, как «местных», так и мигрантов.</w:t>
      </w:r>
      <w:r w:rsidR="001A4C34" w:rsidRPr="001A4C34">
        <w:rPr>
          <w:sz w:val="24"/>
          <w:szCs w:val="24"/>
        </w:rPr>
        <w:t xml:space="preserve"> </w:t>
      </w:r>
      <w:r w:rsidR="00402000" w:rsidRPr="001A4C34">
        <w:rPr>
          <w:sz w:val="24"/>
          <w:szCs w:val="24"/>
        </w:rPr>
        <w:t xml:space="preserve">Одним из результатов изучения темы лечения мигрантов с социально значимыми заболеваниями, стал вывод о том, что низкая осведомленность и поведенческие факторы способствуют высокой уязвимости мигрантов отношении ВИЧ-инфекции именно в стране приема мигрантов. </w:t>
      </w:r>
      <w:r w:rsidRPr="001A4C34">
        <w:rPr>
          <w:sz w:val="24"/>
          <w:szCs w:val="24"/>
        </w:rPr>
        <w:t>Р</w:t>
      </w:r>
      <w:r w:rsidR="00402000" w:rsidRPr="001A4C34">
        <w:rPr>
          <w:sz w:val="24"/>
          <w:szCs w:val="24"/>
        </w:rPr>
        <w:t xml:space="preserve">оссийская норма о нежелательном пребывании ВИЧ-положительных мигрантов не приносит практической пользы: мигранты с ВИЧ лишены права на здоровье, в то время как российское правительство не имеет данных о фактическом </w:t>
      </w:r>
      <w:r w:rsidR="00402000" w:rsidRPr="001A4C34">
        <w:rPr>
          <w:sz w:val="24"/>
          <w:szCs w:val="24"/>
        </w:rPr>
        <w:lastRenderedPageBreak/>
        <w:t>масштабе проблемы, так как статистика не учитывает, сколько ВИЧ-положительных иностранцев фактически находится в России.</w:t>
      </w:r>
    </w:p>
    <w:p w:rsidR="00D91E1B" w:rsidRPr="001A4C34" w:rsidRDefault="00D91E1B" w:rsidP="00614A4E">
      <w:pPr>
        <w:pStyle w:val="a9"/>
        <w:ind w:firstLine="740"/>
        <w:rPr>
          <w:sz w:val="24"/>
          <w:szCs w:val="24"/>
        </w:rPr>
      </w:pPr>
      <w:r w:rsidRPr="001A4C34">
        <w:rPr>
          <w:b/>
          <w:sz w:val="24"/>
          <w:szCs w:val="24"/>
        </w:rPr>
        <w:t>Степень внедрения, рекомендации по внедрению или итоги внедрения результатов НИР</w:t>
      </w:r>
      <w:r w:rsidR="00C66A59" w:rsidRPr="001A4C34">
        <w:rPr>
          <w:b/>
          <w:sz w:val="24"/>
          <w:szCs w:val="24"/>
        </w:rPr>
        <w:t xml:space="preserve">: </w:t>
      </w:r>
      <w:r w:rsidR="00C66A59" w:rsidRPr="001A4C34">
        <w:rPr>
          <w:sz w:val="24"/>
          <w:szCs w:val="24"/>
        </w:rPr>
        <w:t>Результаты исследования были представлены на более чем 40 научных и научно-практических мероприятиях, в том числе международных – в России, Швеции, Франции, Великобритании и США. По результатам и</w:t>
      </w:r>
      <w:r w:rsidR="008C3C65">
        <w:rPr>
          <w:sz w:val="24"/>
          <w:szCs w:val="24"/>
        </w:rPr>
        <w:t>сследования было подготовлено 23</w:t>
      </w:r>
      <w:r w:rsidR="00C66A59" w:rsidRPr="001A4C34">
        <w:rPr>
          <w:sz w:val="24"/>
          <w:szCs w:val="24"/>
        </w:rPr>
        <w:t xml:space="preserve"> научные публикации, в том числе 1</w:t>
      </w:r>
      <w:r w:rsidR="008C3C65">
        <w:rPr>
          <w:sz w:val="24"/>
          <w:szCs w:val="24"/>
        </w:rPr>
        <w:t>2</w:t>
      </w:r>
      <w:r w:rsidR="007166FE">
        <w:rPr>
          <w:sz w:val="24"/>
          <w:szCs w:val="24"/>
        </w:rPr>
        <w:t xml:space="preserve"> </w:t>
      </w:r>
      <w:r w:rsidR="00C66A59" w:rsidRPr="001A4C34">
        <w:rPr>
          <w:sz w:val="24"/>
          <w:szCs w:val="24"/>
        </w:rPr>
        <w:t>– статьи в журналах, индексируемых в WoS и Scopus. Отдельные результаты исследования были использованы при подготовке в 2019 г. аналитических записок и экспертных заключений, направлявшихся в Правительство России и федеральные органы исполнительной власти.</w:t>
      </w:r>
    </w:p>
    <w:p w:rsidR="002F249A" w:rsidRPr="001A4C34" w:rsidRDefault="00C66A59" w:rsidP="001A4C34">
      <w:pPr>
        <w:pStyle w:val="a9"/>
        <w:ind w:firstLine="709"/>
        <w:outlineLvl w:val="0"/>
        <w:rPr>
          <w:sz w:val="24"/>
          <w:szCs w:val="24"/>
        </w:rPr>
      </w:pPr>
      <w:r w:rsidRPr="001A4C34">
        <w:rPr>
          <w:b/>
          <w:sz w:val="24"/>
          <w:szCs w:val="24"/>
        </w:rPr>
        <w:t>Область применения</w:t>
      </w:r>
      <w:r w:rsidRPr="001A4C34">
        <w:rPr>
          <w:sz w:val="24"/>
          <w:szCs w:val="24"/>
        </w:rPr>
        <w:t xml:space="preserve">. Результаты данной работы могут быть использованы для консультирования органов государственной власти и </w:t>
      </w:r>
      <w:proofErr w:type="gramStart"/>
      <w:r w:rsidRPr="001A4C34">
        <w:rPr>
          <w:sz w:val="24"/>
          <w:szCs w:val="24"/>
        </w:rPr>
        <w:t>совершенствования</w:t>
      </w:r>
      <w:proofErr w:type="gramEnd"/>
      <w:r w:rsidRPr="001A4C34">
        <w:rPr>
          <w:sz w:val="24"/>
          <w:szCs w:val="24"/>
        </w:rPr>
        <w:t xml:space="preserve"> действующего или разрабатываемого законодательства в области мер социальной, налоговой и экономической политики и оценки их эффективности, в частности – в работе Министерства труда и социальной защиты РФ, Пенсионного фонда России, Министерства экономического развития РФ, Министерства финансов РФ, Министерства здравоохранения РФ, Счетной палаты и Росстата.</w:t>
      </w:r>
    </w:p>
    <w:sectPr w:rsidR="002F249A" w:rsidRPr="001A4C34" w:rsidSect="00AC18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BF" w:rsidRDefault="00596CBF" w:rsidP="00F73371">
      <w:pPr>
        <w:spacing w:after="0" w:line="240" w:lineRule="auto"/>
      </w:pPr>
      <w:r>
        <w:separator/>
      </w:r>
    </w:p>
  </w:endnote>
  <w:endnote w:type="continuationSeparator" w:id="0">
    <w:p w:rsidR="00596CBF" w:rsidRDefault="00596CBF"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BF" w:rsidRDefault="00596CBF" w:rsidP="00F73371">
      <w:pPr>
        <w:spacing w:after="0" w:line="240" w:lineRule="auto"/>
      </w:pPr>
      <w:r>
        <w:separator/>
      </w:r>
    </w:p>
  </w:footnote>
  <w:footnote w:type="continuationSeparator" w:id="0">
    <w:p w:rsidR="00596CBF" w:rsidRDefault="00596CBF" w:rsidP="00F73371">
      <w:pPr>
        <w:spacing w:after="0" w:line="240" w:lineRule="auto"/>
      </w:pPr>
      <w:r>
        <w:continuationSeparator/>
      </w:r>
    </w:p>
  </w:footnote>
  <w:footnote w:id="1">
    <w:p w:rsidR="00AF0903" w:rsidRPr="00AF0903" w:rsidRDefault="00AF0903">
      <w:pPr>
        <w:pStyle w:val="ac"/>
        <w:rPr>
          <w:rFonts w:ascii="Times New Roman" w:hAnsi="Times New Roman" w:cs="Times New Roman"/>
        </w:rPr>
      </w:pPr>
      <w:r w:rsidRPr="00AF0903">
        <w:rPr>
          <w:rStyle w:val="ae"/>
          <w:rFonts w:ascii="Times New Roman" w:hAnsi="Times New Roman" w:cs="Times New Roman"/>
        </w:rPr>
        <w:footnoteRef/>
      </w:r>
      <w:r w:rsidRPr="00AF0903">
        <w:rPr>
          <w:rFonts w:ascii="Times New Roman" w:hAnsi="Times New Roman" w:cs="Times New Roman"/>
        </w:rPr>
        <w:t xml:space="preserve"> </w:t>
      </w:r>
      <w:r w:rsidRPr="00AF0903">
        <w:rPr>
          <w:rFonts w:ascii="Times New Roman" w:eastAsia="Calibri" w:hAnsi="Times New Roman" w:cs="Times New Roman"/>
          <w:iCs/>
          <w:lang w:eastAsia="en-US"/>
        </w:rPr>
        <w:t>юридическое лицо, признанное выполняющим функции иностранного агента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1" w15:restartNumberingAfterBreak="0">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9E173F"/>
    <w:multiLevelType w:val="hybridMultilevel"/>
    <w:tmpl w:val="0C0A4878"/>
    <w:lvl w:ilvl="0" w:tplc="A0BCB7B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SxNDY0tjA3MzWyNDVT0lEKTi0uzszPAykwqgUATXGq3CwAAAA="/>
  </w:docVars>
  <w:rsids>
    <w:rsidRoot w:val="002F249A"/>
    <w:rsid w:val="00032897"/>
    <w:rsid w:val="00050241"/>
    <w:rsid w:val="0007475E"/>
    <w:rsid w:val="0009012F"/>
    <w:rsid w:val="0009130C"/>
    <w:rsid w:val="000D4827"/>
    <w:rsid w:val="000E0E6F"/>
    <w:rsid w:val="000F4DA9"/>
    <w:rsid w:val="00117A99"/>
    <w:rsid w:val="00133AB7"/>
    <w:rsid w:val="001419FD"/>
    <w:rsid w:val="001451C0"/>
    <w:rsid w:val="00195123"/>
    <w:rsid w:val="001A39CE"/>
    <w:rsid w:val="001A4C34"/>
    <w:rsid w:val="001B4A4C"/>
    <w:rsid w:val="001C50C1"/>
    <w:rsid w:val="001E1371"/>
    <w:rsid w:val="001F6CBD"/>
    <w:rsid w:val="00222A6D"/>
    <w:rsid w:val="002312FE"/>
    <w:rsid w:val="0024637B"/>
    <w:rsid w:val="002519B4"/>
    <w:rsid w:val="00274360"/>
    <w:rsid w:val="00297FF4"/>
    <w:rsid w:val="002A61EB"/>
    <w:rsid w:val="002B7C90"/>
    <w:rsid w:val="002C2057"/>
    <w:rsid w:val="002C57CA"/>
    <w:rsid w:val="002E4D71"/>
    <w:rsid w:val="002F249A"/>
    <w:rsid w:val="003108DE"/>
    <w:rsid w:val="003263E3"/>
    <w:rsid w:val="003735EB"/>
    <w:rsid w:val="00375EA2"/>
    <w:rsid w:val="00391A85"/>
    <w:rsid w:val="003A3CDE"/>
    <w:rsid w:val="003A73C9"/>
    <w:rsid w:val="003B5E48"/>
    <w:rsid w:val="003C6100"/>
    <w:rsid w:val="003D01E2"/>
    <w:rsid w:val="003D458B"/>
    <w:rsid w:val="00402000"/>
    <w:rsid w:val="00402FCC"/>
    <w:rsid w:val="00417264"/>
    <w:rsid w:val="00420D30"/>
    <w:rsid w:val="00473316"/>
    <w:rsid w:val="00473D96"/>
    <w:rsid w:val="00486757"/>
    <w:rsid w:val="0049064B"/>
    <w:rsid w:val="004A3D35"/>
    <w:rsid w:val="004C10E0"/>
    <w:rsid w:val="004E5805"/>
    <w:rsid w:val="0050761F"/>
    <w:rsid w:val="00523D5C"/>
    <w:rsid w:val="00525FE8"/>
    <w:rsid w:val="00546CBA"/>
    <w:rsid w:val="00576728"/>
    <w:rsid w:val="00596CBF"/>
    <w:rsid w:val="005A64BB"/>
    <w:rsid w:val="005B1039"/>
    <w:rsid w:val="005E03D3"/>
    <w:rsid w:val="00614A4E"/>
    <w:rsid w:val="00621F99"/>
    <w:rsid w:val="006269A4"/>
    <w:rsid w:val="00674699"/>
    <w:rsid w:val="00682A1E"/>
    <w:rsid w:val="006C04E5"/>
    <w:rsid w:val="006C4519"/>
    <w:rsid w:val="006C6DDB"/>
    <w:rsid w:val="006E45F8"/>
    <w:rsid w:val="00700BE0"/>
    <w:rsid w:val="00706C0F"/>
    <w:rsid w:val="00713E1A"/>
    <w:rsid w:val="007166FE"/>
    <w:rsid w:val="0073293A"/>
    <w:rsid w:val="00740DCA"/>
    <w:rsid w:val="007610B2"/>
    <w:rsid w:val="007829E3"/>
    <w:rsid w:val="007865B4"/>
    <w:rsid w:val="007875E0"/>
    <w:rsid w:val="007A0BF0"/>
    <w:rsid w:val="007B15F2"/>
    <w:rsid w:val="007F671D"/>
    <w:rsid w:val="0080536C"/>
    <w:rsid w:val="008272AB"/>
    <w:rsid w:val="00853873"/>
    <w:rsid w:val="008A0ECD"/>
    <w:rsid w:val="008B0627"/>
    <w:rsid w:val="008C3C65"/>
    <w:rsid w:val="008E0A9C"/>
    <w:rsid w:val="008F67E4"/>
    <w:rsid w:val="009070CF"/>
    <w:rsid w:val="009251D4"/>
    <w:rsid w:val="00931E66"/>
    <w:rsid w:val="0094377E"/>
    <w:rsid w:val="00986CB3"/>
    <w:rsid w:val="009B2092"/>
    <w:rsid w:val="009C0AB0"/>
    <w:rsid w:val="009C4C78"/>
    <w:rsid w:val="009D212D"/>
    <w:rsid w:val="00A20295"/>
    <w:rsid w:val="00A43DCE"/>
    <w:rsid w:val="00A57EE7"/>
    <w:rsid w:val="00A615F9"/>
    <w:rsid w:val="00AB74E8"/>
    <w:rsid w:val="00AC182B"/>
    <w:rsid w:val="00AD3C17"/>
    <w:rsid w:val="00AF0903"/>
    <w:rsid w:val="00AF3C31"/>
    <w:rsid w:val="00B429D9"/>
    <w:rsid w:val="00B55419"/>
    <w:rsid w:val="00BA7C65"/>
    <w:rsid w:val="00BB745B"/>
    <w:rsid w:val="00BC6C1C"/>
    <w:rsid w:val="00BD4C18"/>
    <w:rsid w:val="00C11DAC"/>
    <w:rsid w:val="00C31716"/>
    <w:rsid w:val="00C66A59"/>
    <w:rsid w:val="00C776F7"/>
    <w:rsid w:val="00C8241B"/>
    <w:rsid w:val="00C82928"/>
    <w:rsid w:val="00CC3BC0"/>
    <w:rsid w:val="00CC6F60"/>
    <w:rsid w:val="00CD00F6"/>
    <w:rsid w:val="00CF219D"/>
    <w:rsid w:val="00D030EC"/>
    <w:rsid w:val="00D14E44"/>
    <w:rsid w:val="00D24A67"/>
    <w:rsid w:val="00D52B28"/>
    <w:rsid w:val="00D55C5C"/>
    <w:rsid w:val="00D56BF9"/>
    <w:rsid w:val="00D91E1B"/>
    <w:rsid w:val="00D97EB0"/>
    <w:rsid w:val="00DA7374"/>
    <w:rsid w:val="00DE1428"/>
    <w:rsid w:val="00DE46C7"/>
    <w:rsid w:val="00E20BC3"/>
    <w:rsid w:val="00E212E7"/>
    <w:rsid w:val="00E4331A"/>
    <w:rsid w:val="00E50A5F"/>
    <w:rsid w:val="00E72A7A"/>
    <w:rsid w:val="00E825AB"/>
    <w:rsid w:val="00E84C72"/>
    <w:rsid w:val="00E970BE"/>
    <w:rsid w:val="00EA6597"/>
    <w:rsid w:val="00EB00DD"/>
    <w:rsid w:val="00EB5630"/>
    <w:rsid w:val="00EC23F4"/>
    <w:rsid w:val="00ED7E12"/>
    <w:rsid w:val="00EF49E9"/>
    <w:rsid w:val="00F067B9"/>
    <w:rsid w:val="00F22BF1"/>
    <w:rsid w:val="00F403E6"/>
    <w:rsid w:val="00F6771B"/>
    <w:rsid w:val="00F73371"/>
    <w:rsid w:val="00F7386E"/>
    <w:rsid w:val="00F877ED"/>
    <w:rsid w:val="00FC537F"/>
    <w:rsid w:val="00FE0FE1"/>
    <w:rsid w:val="00FE2262"/>
    <w:rsid w:val="00FE2904"/>
    <w:rsid w:val="00FF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EB56E-9967-486B-945C-1BD0C55B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footnote text"/>
    <w:aliases w:val="Текст сноски Знак1,Текст сноски Знак Знак,Текст сноски Знак1 Знак Знак,Текст сноски Знак Знак Знак Знак,Footnote Text Char Знак,Footnote Text Char,Текст сноски Знак2,Текст сноски Знак Знак1,Текст сноски Знак1 Знак Знак1,Знак1,Знак Знак,Зн"/>
    <w:basedOn w:val="a"/>
    <w:link w:val="ad"/>
    <w:uiPriority w:val="99"/>
    <w:unhideWhenUsed/>
    <w:qFormat/>
    <w:rsid w:val="003B5E48"/>
    <w:pPr>
      <w:spacing w:after="0" w:line="240" w:lineRule="auto"/>
    </w:pPr>
    <w:rPr>
      <w:rFonts w:eastAsiaTheme="minorEastAsia"/>
      <w:sz w:val="20"/>
      <w:szCs w:val="20"/>
      <w:lang w:eastAsia="ru-RU"/>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Footnote Text Char Знак Знак,Footnote Text Char Знак1,Текст сноски Знак2 Знак,Текст сноски Знак Знак1 Знак"/>
    <w:basedOn w:val="a0"/>
    <w:link w:val="ac"/>
    <w:uiPriority w:val="99"/>
    <w:rsid w:val="003B5E48"/>
    <w:rPr>
      <w:rFonts w:eastAsiaTheme="minorEastAsia"/>
      <w:sz w:val="20"/>
      <w:szCs w:val="20"/>
      <w:lang w:eastAsia="ru-RU"/>
    </w:rPr>
  </w:style>
  <w:style w:type="character" w:styleId="ae">
    <w:name w:val="footnote reference"/>
    <w:aliases w:val="fr,Used by Word for Help footnote symbols,Знак сноски 1,Знак сноски-FN,Ciae niinee-FN,Referencia nota al pie,Ciae niinee 1,16 Point,Superscript 6 Point,Footnote Reference Number,Footnote Reference_LVL6,Footnote Reference_LVL61,ОР,Fussnota"/>
    <w:basedOn w:val="a0"/>
    <w:uiPriority w:val="99"/>
    <w:unhideWhenUsed/>
    <w:rsid w:val="003B5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C70C-2247-41A9-A20C-89F6ADC5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9696</Characters>
  <Application>Microsoft Office Word</Application>
  <DocSecurity>4</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Смоловик Оксана Владимировна</dc:creator>
  <cp:lastModifiedBy>Пользователь Windows</cp:lastModifiedBy>
  <cp:revision>2</cp:revision>
  <cp:lastPrinted>2014-12-26T09:59:00Z</cp:lastPrinted>
  <dcterms:created xsi:type="dcterms:W3CDTF">2025-01-22T11:49:00Z</dcterms:created>
  <dcterms:modified xsi:type="dcterms:W3CDTF">2025-01-22T11:49:00Z</dcterms:modified>
</cp:coreProperties>
</file>