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9A" w:rsidRPr="00CC3BC0" w:rsidRDefault="00D91E1B" w:rsidP="00477A42">
      <w:pPr>
        <w:pStyle w:val="a3"/>
        <w:widowControl/>
        <w:tabs>
          <w:tab w:val="left" w:pos="360"/>
        </w:tabs>
        <w:jc w:val="center"/>
        <w:rPr>
          <w:rFonts w:asciiTheme="minorHAnsi" w:hAnsiTheme="minorHAnsi"/>
          <w:b/>
          <w:sz w:val="26"/>
          <w:szCs w:val="26"/>
        </w:rPr>
      </w:pPr>
      <w:bookmarkStart w:id="0" w:name="_GoBack"/>
      <w:bookmarkEnd w:id="0"/>
      <w:r>
        <w:rPr>
          <w:rFonts w:ascii="Times New Roman" w:hAnsi="Times New Roman"/>
          <w:b/>
          <w:sz w:val="26"/>
          <w:szCs w:val="26"/>
        </w:rPr>
        <w:t>Аннотация</w:t>
      </w:r>
    </w:p>
    <w:p w:rsidR="00E72A7A" w:rsidRPr="00B61DD7" w:rsidRDefault="00E72A7A" w:rsidP="00477A42">
      <w:pPr>
        <w:pStyle w:val="a3"/>
        <w:widowControl/>
        <w:tabs>
          <w:tab w:val="left" w:pos="360"/>
        </w:tabs>
        <w:jc w:val="center"/>
        <w:rPr>
          <w:rFonts w:ascii="Times New Roman" w:hAnsi="Times New Roman"/>
          <w:b/>
          <w:sz w:val="26"/>
          <w:szCs w:val="26"/>
        </w:rPr>
      </w:pPr>
      <w:r w:rsidRPr="0057407C">
        <w:rPr>
          <w:rFonts w:ascii="Times New Roman" w:hAnsi="Times New Roman"/>
          <w:b/>
          <w:sz w:val="26"/>
          <w:szCs w:val="26"/>
        </w:rPr>
        <w:t>ТЗ-</w:t>
      </w:r>
      <w:r w:rsidR="00A6683C">
        <w:rPr>
          <w:rFonts w:ascii="Times New Roman" w:hAnsi="Times New Roman"/>
          <w:b/>
          <w:sz w:val="26"/>
          <w:szCs w:val="26"/>
        </w:rPr>
        <w:t>144</w:t>
      </w:r>
    </w:p>
    <w:p w:rsidR="00B1338F" w:rsidRPr="00F534AE" w:rsidRDefault="00B1338F" w:rsidP="00477A42">
      <w:pPr>
        <w:pStyle w:val="a3"/>
        <w:widowControl/>
        <w:tabs>
          <w:tab w:val="left" w:pos="360"/>
        </w:tabs>
        <w:rPr>
          <w:rFonts w:asciiTheme="minorHAnsi" w:hAnsiTheme="minorHAnsi"/>
          <w:b/>
          <w:sz w:val="10"/>
          <w:szCs w:val="10"/>
        </w:rPr>
      </w:pPr>
    </w:p>
    <w:p w:rsidR="00E72A7A" w:rsidRPr="00EB3FD7" w:rsidRDefault="002F249A" w:rsidP="00451D30">
      <w:pPr>
        <w:pStyle w:val="a3"/>
        <w:widowControl/>
        <w:tabs>
          <w:tab w:val="left" w:pos="360"/>
        </w:tabs>
        <w:jc w:val="both"/>
        <w:rPr>
          <w:rFonts w:ascii="Times New Roman" w:hAnsi="Times New Roman"/>
          <w:sz w:val="24"/>
          <w:szCs w:val="24"/>
        </w:rPr>
      </w:pPr>
      <w:r w:rsidRPr="00CF7F74">
        <w:rPr>
          <w:rFonts w:ascii="Times New Roman" w:hAnsi="Times New Roman"/>
          <w:sz w:val="24"/>
          <w:szCs w:val="24"/>
        </w:rPr>
        <w:t xml:space="preserve">Тема: </w:t>
      </w:r>
      <w:r w:rsidR="00EB3FD7">
        <w:rPr>
          <w:rFonts w:ascii="Times New Roman" w:hAnsi="Times New Roman"/>
          <w:sz w:val="24"/>
          <w:szCs w:val="24"/>
        </w:rPr>
        <w:t>«</w:t>
      </w:r>
      <w:r w:rsidR="00C477DB" w:rsidRPr="00C477DB">
        <w:rPr>
          <w:rFonts w:ascii="Times New Roman" w:hAnsi="Times New Roman"/>
          <w:sz w:val="24"/>
          <w:szCs w:val="24"/>
        </w:rPr>
        <w:t>Оценка достаточности мер экономической, социальной и демографической политики для сокращения бедности в 2 раза к 2024 году</w:t>
      </w:r>
      <w:r w:rsidRPr="00EB3FD7">
        <w:rPr>
          <w:rFonts w:ascii="Times New Roman" w:hAnsi="Times New Roman"/>
          <w:sz w:val="24"/>
          <w:szCs w:val="24"/>
        </w:rPr>
        <w:t>»</w:t>
      </w:r>
    </w:p>
    <w:p w:rsidR="002F249A" w:rsidRDefault="002F249A" w:rsidP="00477A42">
      <w:pPr>
        <w:pStyle w:val="a3"/>
        <w:widowControl/>
        <w:tabs>
          <w:tab w:val="left" w:pos="360"/>
        </w:tabs>
        <w:rPr>
          <w:rFonts w:ascii="Times New Roman" w:hAnsi="Times New Roman"/>
          <w:sz w:val="24"/>
          <w:szCs w:val="24"/>
        </w:rPr>
      </w:pPr>
      <w:r w:rsidRPr="00CF7F74">
        <w:rPr>
          <w:rFonts w:ascii="Times New Roman" w:hAnsi="Times New Roman"/>
          <w:sz w:val="24"/>
          <w:szCs w:val="24"/>
        </w:rPr>
        <w:t>Руководитель</w:t>
      </w:r>
      <w:r w:rsidR="001A39CE">
        <w:rPr>
          <w:rFonts w:ascii="Times New Roman" w:hAnsi="Times New Roman"/>
          <w:sz w:val="24"/>
          <w:szCs w:val="24"/>
        </w:rPr>
        <w:t xml:space="preserve">: </w:t>
      </w:r>
      <w:r w:rsidR="00EB3FD7">
        <w:rPr>
          <w:rFonts w:ascii="Times New Roman" w:hAnsi="Times New Roman"/>
          <w:sz w:val="24"/>
          <w:szCs w:val="24"/>
        </w:rPr>
        <w:t>Овчарова Лилия Николаевна</w:t>
      </w:r>
      <w:r w:rsidR="00C477DB">
        <w:rPr>
          <w:rFonts w:ascii="Times New Roman" w:hAnsi="Times New Roman"/>
          <w:sz w:val="24"/>
          <w:szCs w:val="24"/>
        </w:rPr>
        <w:t>, Пишняк Алина Игоревна</w:t>
      </w:r>
    </w:p>
    <w:p w:rsidR="002F249A" w:rsidRDefault="00D91E1B" w:rsidP="00477A42">
      <w:pPr>
        <w:pStyle w:val="a3"/>
        <w:widowControl/>
        <w:tabs>
          <w:tab w:val="left" w:pos="360"/>
        </w:tabs>
        <w:rPr>
          <w:rFonts w:ascii="Times New Roman" w:hAnsi="Times New Roman"/>
          <w:sz w:val="24"/>
          <w:szCs w:val="24"/>
        </w:rPr>
      </w:pPr>
      <w:r>
        <w:rPr>
          <w:rFonts w:ascii="Times New Roman" w:hAnsi="Times New Roman"/>
          <w:sz w:val="24"/>
          <w:szCs w:val="24"/>
        </w:rPr>
        <w:t>Наименование подразделения:</w:t>
      </w:r>
      <w:r w:rsidR="00C30094">
        <w:rPr>
          <w:rFonts w:ascii="Times New Roman" w:hAnsi="Times New Roman"/>
          <w:sz w:val="24"/>
          <w:szCs w:val="24"/>
        </w:rPr>
        <w:t xml:space="preserve"> </w:t>
      </w:r>
      <w:r w:rsidR="00002D42">
        <w:rPr>
          <w:rFonts w:ascii="Times New Roman" w:hAnsi="Times New Roman"/>
          <w:sz w:val="24"/>
          <w:szCs w:val="24"/>
        </w:rPr>
        <w:t>Институт социальной политики</w:t>
      </w:r>
    </w:p>
    <w:p w:rsidR="00D91E1B" w:rsidRDefault="00D91E1B" w:rsidP="00477A42">
      <w:pPr>
        <w:pStyle w:val="a3"/>
        <w:widowControl/>
        <w:tabs>
          <w:tab w:val="left" w:pos="360"/>
        </w:tabs>
        <w:rPr>
          <w:rFonts w:ascii="Times New Roman" w:hAnsi="Times New Roman"/>
          <w:sz w:val="24"/>
          <w:szCs w:val="24"/>
        </w:rPr>
      </w:pPr>
    </w:p>
    <w:p w:rsidR="007D73DA" w:rsidRDefault="007D73DA" w:rsidP="00477A42">
      <w:pPr>
        <w:pStyle w:val="a9"/>
        <w:ind w:firstLine="0"/>
        <w:rPr>
          <w:sz w:val="24"/>
          <w:szCs w:val="24"/>
        </w:rPr>
      </w:pPr>
      <w:r w:rsidRPr="00AA71F5">
        <w:rPr>
          <w:b/>
          <w:sz w:val="24"/>
          <w:szCs w:val="24"/>
        </w:rPr>
        <w:t xml:space="preserve">Объектом исследования </w:t>
      </w:r>
      <w:r w:rsidRPr="00AA71F5">
        <w:rPr>
          <w:sz w:val="24"/>
          <w:szCs w:val="24"/>
        </w:rPr>
        <w:t>является</w:t>
      </w:r>
      <w:r w:rsidR="00C30094">
        <w:rPr>
          <w:sz w:val="24"/>
          <w:szCs w:val="24"/>
        </w:rPr>
        <w:t xml:space="preserve"> </w:t>
      </w:r>
      <w:r w:rsidR="00C477DB">
        <w:rPr>
          <w:sz w:val="24"/>
          <w:szCs w:val="24"/>
        </w:rPr>
        <w:t>население России</w:t>
      </w:r>
      <w:r w:rsidRPr="00AA71F5">
        <w:rPr>
          <w:sz w:val="24"/>
          <w:szCs w:val="24"/>
        </w:rPr>
        <w:t>.</w:t>
      </w:r>
    </w:p>
    <w:p w:rsidR="00106D72" w:rsidRPr="00106D72" w:rsidRDefault="00D91E1B" w:rsidP="00477A42">
      <w:pPr>
        <w:pStyle w:val="a9"/>
        <w:numPr>
          <w:ilvl w:val="0"/>
          <w:numId w:val="2"/>
        </w:numPr>
        <w:spacing w:after="240"/>
        <w:ind w:left="0" w:firstLine="0"/>
        <w:rPr>
          <w:sz w:val="24"/>
          <w:szCs w:val="24"/>
        </w:rPr>
      </w:pPr>
      <w:r w:rsidRPr="00576728">
        <w:rPr>
          <w:b/>
          <w:sz w:val="24"/>
          <w:szCs w:val="24"/>
        </w:rPr>
        <w:t>Цель работы:</w:t>
      </w:r>
      <w:r w:rsidR="00C30094">
        <w:rPr>
          <w:b/>
          <w:sz w:val="24"/>
          <w:szCs w:val="24"/>
        </w:rPr>
        <w:t xml:space="preserve"> </w:t>
      </w:r>
      <w:r w:rsidR="00C477DB" w:rsidRPr="00C477DB">
        <w:rPr>
          <w:sz w:val="24"/>
          <w:szCs w:val="24"/>
        </w:rPr>
        <w:t>анализ уровня, профиля и структуры бедности и оценка достаточности мер политики для сокращения бедности в 2 раза</w:t>
      </w:r>
      <w:r w:rsidR="00106D72" w:rsidRPr="00C477DB">
        <w:rPr>
          <w:sz w:val="24"/>
          <w:szCs w:val="24"/>
        </w:rPr>
        <w:t>.</w:t>
      </w:r>
      <w:r w:rsidR="00106D72" w:rsidRPr="00106D72">
        <w:rPr>
          <w:sz w:val="24"/>
          <w:szCs w:val="24"/>
        </w:rPr>
        <w:t xml:space="preserve"> </w:t>
      </w:r>
    </w:p>
    <w:p w:rsidR="001D6863" w:rsidRPr="001D6863" w:rsidRDefault="00931E66" w:rsidP="00477A42">
      <w:pPr>
        <w:pStyle w:val="a9"/>
        <w:numPr>
          <w:ilvl w:val="0"/>
          <w:numId w:val="2"/>
        </w:numPr>
        <w:spacing w:after="240"/>
        <w:ind w:left="0" w:firstLine="0"/>
        <w:rPr>
          <w:sz w:val="24"/>
          <w:szCs w:val="24"/>
        </w:rPr>
      </w:pPr>
      <w:r w:rsidRPr="007D73DA">
        <w:rPr>
          <w:b/>
          <w:sz w:val="24"/>
          <w:szCs w:val="24"/>
        </w:rPr>
        <w:t>Используемые методы:</w:t>
      </w:r>
      <w:r w:rsidR="00C30094">
        <w:rPr>
          <w:b/>
          <w:sz w:val="24"/>
          <w:szCs w:val="24"/>
        </w:rPr>
        <w:t xml:space="preserve"> </w:t>
      </w:r>
      <w:r w:rsidR="001D6863" w:rsidRPr="001D6863">
        <w:rPr>
          <w:sz w:val="24"/>
          <w:szCs w:val="24"/>
        </w:rPr>
        <w:t>анализ открытых данных международных организаций (Всемирный банк, ОЭСР)</w:t>
      </w:r>
      <w:r w:rsidR="0068401E">
        <w:rPr>
          <w:sz w:val="24"/>
          <w:szCs w:val="24"/>
        </w:rPr>
        <w:t xml:space="preserve"> </w:t>
      </w:r>
      <w:r w:rsidR="001D6863">
        <w:rPr>
          <w:b/>
          <w:sz w:val="24"/>
          <w:szCs w:val="24"/>
        </w:rPr>
        <w:t xml:space="preserve">– </w:t>
      </w:r>
      <w:r w:rsidR="001D6863" w:rsidRPr="001D6863">
        <w:rPr>
          <w:sz w:val="24"/>
          <w:szCs w:val="24"/>
        </w:rPr>
        <w:t xml:space="preserve">для межстрановых сопоставлений уровня </w:t>
      </w:r>
      <w:r w:rsidR="0099097F">
        <w:rPr>
          <w:sz w:val="24"/>
          <w:szCs w:val="24"/>
        </w:rPr>
        <w:t xml:space="preserve">и динамики </w:t>
      </w:r>
      <w:r w:rsidR="001D6863" w:rsidRPr="001D6863">
        <w:rPr>
          <w:sz w:val="24"/>
          <w:szCs w:val="24"/>
        </w:rPr>
        <w:t>бедности</w:t>
      </w:r>
      <w:r w:rsidR="001D6863">
        <w:rPr>
          <w:sz w:val="24"/>
          <w:szCs w:val="24"/>
        </w:rPr>
        <w:t xml:space="preserve">; </w:t>
      </w:r>
      <w:r w:rsidR="0068401E">
        <w:rPr>
          <w:sz w:val="24"/>
          <w:szCs w:val="24"/>
        </w:rPr>
        <w:t xml:space="preserve">анализ открытых данных </w:t>
      </w:r>
      <w:r w:rsidR="0068401E" w:rsidRPr="0083486B">
        <w:rPr>
          <w:bCs/>
          <w:sz w:val="24"/>
          <w:szCs w:val="24"/>
        </w:rPr>
        <w:t>Федеральной службы государственной статистики</w:t>
      </w:r>
      <w:r w:rsidR="0068401E">
        <w:rPr>
          <w:sz w:val="24"/>
          <w:szCs w:val="24"/>
        </w:rPr>
        <w:t xml:space="preserve"> – для сравнительного анализа уровня бедности в отдельных регионах;</w:t>
      </w:r>
      <w:r w:rsidR="0068401E">
        <w:rPr>
          <w:b/>
          <w:sz w:val="24"/>
          <w:szCs w:val="24"/>
        </w:rPr>
        <w:t xml:space="preserve"> </w:t>
      </w:r>
      <w:r w:rsidR="001D6863">
        <w:rPr>
          <w:sz w:val="24"/>
          <w:szCs w:val="24"/>
        </w:rPr>
        <w:t>анализ частотных распределений</w:t>
      </w:r>
      <w:r w:rsidR="001D6863" w:rsidRPr="0057407C">
        <w:rPr>
          <w:sz w:val="24"/>
          <w:szCs w:val="24"/>
        </w:rPr>
        <w:t xml:space="preserve"> </w:t>
      </w:r>
      <w:r w:rsidR="001D6863">
        <w:rPr>
          <w:sz w:val="24"/>
          <w:szCs w:val="24"/>
        </w:rPr>
        <w:t>ответов, полученных в рамках разовых и мониторинговых опросов населения – для оценки динамики бедности, выявления факторов бедности и специфики бедности в отдельных регионах, а также сопоставления групп бедных по доходам и расходам;</w:t>
      </w:r>
      <w:r w:rsidR="0068401E">
        <w:rPr>
          <w:sz w:val="24"/>
          <w:szCs w:val="24"/>
        </w:rPr>
        <w:t xml:space="preserve"> </w:t>
      </w:r>
      <w:r w:rsidR="001D6863">
        <w:rPr>
          <w:sz w:val="24"/>
          <w:szCs w:val="24"/>
        </w:rPr>
        <w:t xml:space="preserve">математическое моделирование – для оценки эффектов экономического роста и мер социальной поддержки в части снижения доли малоимущего населения и оценки влияния состава потребительской корзины на уровень бедности; </w:t>
      </w:r>
      <w:r w:rsidR="0083486B">
        <w:rPr>
          <w:sz w:val="24"/>
          <w:szCs w:val="24"/>
        </w:rPr>
        <w:t>анализ нормативно-правовых актов и других документов – для характеристики положени</w:t>
      </w:r>
      <w:r w:rsidR="00FD3B8C">
        <w:rPr>
          <w:sz w:val="24"/>
          <w:szCs w:val="24"/>
        </w:rPr>
        <w:t>й</w:t>
      </w:r>
      <w:r w:rsidR="0083486B">
        <w:rPr>
          <w:sz w:val="24"/>
          <w:szCs w:val="24"/>
        </w:rPr>
        <w:t xml:space="preserve"> Приказа о реализации пилотных проектов, нацеленных на снижение бедности.</w:t>
      </w:r>
    </w:p>
    <w:p w:rsidR="00106D72" w:rsidRPr="0083486B" w:rsidRDefault="00D91E1B" w:rsidP="00477A42">
      <w:pPr>
        <w:pStyle w:val="a9"/>
        <w:numPr>
          <w:ilvl w:val="0"/>
          <w:numId w:val="2"/>
        </w:numPr>
        <w:spacing w:after="240"/>
        <w:ind w:left="0" w:firstLine="0"/>
        <w:rPr>
          <w:sz w:val="24"/>
          <w:szCs w:val="24"/>
        </w:rPr>
      </w:pPr>
      <w:r w:rsidRPr="00774E94">
        <w:rPr>
          <w:b/>
          <w:sz w:val="24"/>
          <w:szCs w:val="24"/>
        </w:rPr>
        <w:t>Эмпирическ</w:t>
      </w:r>
      <w:r w:rsidR="00576728" w:rsidRPr="00774E94">
        <w:rPr>
          <w:b/>
          <w:sz w:val="24"/>
          <w:szCs w:val="24"/>
        </w:rPr>
        <w:t>ая</w:t>
      </w:r>
      <w:r w:rsidRPr="00774E94">
        <w:rPr>
          <w:b/>
          <w:sz w:val="24"/>
          <w:szCs w:val="24"/>
        </w:rPr>
        <w:t xml:space="preserve"> баз</w:t>
      </w:r>
      <w:r w:rsidR="00576728" w:rsidRPr="00774E94">
        <w:rPr>
          <w:b/>
          <w:sz w:val="24"/>
          <w:szCs w:val="24"/>
        </w:rPr>
        <w:t>а</w:t>
      </w:r>
      <w:r w:rsidRPr="00774E94">
        <w:rPr>
          <w:b/>
          <w:sz w:val="24"/>
          <w:szCs w:val="24"/>
        </w:rPr>
        <w:t xml:space="preserve"> исследования:</w:t>
      </w:r>
      <w:r w:rsidR="00C30094">
        <w:rPr>
          <w:b/>
          <w:sz w:val="24"/>
          <w:szCs w:val="24"/>
        </w:rPr>
        <w:t xml:space="preserve"> </w:t>
      </w:r>
      <w:r w:rsidR="0047413D" w:rsidRPr="009D67F4">
        <w:rPr>
          <w:color w:val="000000"/>
          <w:sz w:val="24"/>
          <w:szCs w:val="24"/>
        </w:rPr>
        <w:t>данные Российского мониторинга экономического положения и здоровья населения НИУ ВШЭ</w:t>
      </w:r>
      <w:r w:rsidR="0047413D">
        <w:rPr>
          <w:color w:val="000000"/>
          <w:sz w:val="24"/>
          <w:szCs w:val="24"/>
        </w:rPr>
        <w:t xml:space="preserve"> (РМЭЗ НИУ ВШЭ)</w:t>
      </w:r>
      <w:r w:rsidR="0047413D" w:rsidRPr="009D67F4">
        <w:rPr>
          <w:color w:val="000000"/>
          <w:sz w:val="24"/>
          <w:szCs w:val="24"/>
        </w:rPr>
        <w:t xml:space="preserve"> за период с 2000 по 2017</w:t>
      </w:r>
      <w:r w:rsidR="0047413D">
        <w:rPr>
          <w:color w:val="000000"/>
          <w:sz w:val="24"/>
          <w:szCs w:val="24"/>
        </w:rPr>
        <w:t xml:space="preserve"> год</w:t>
      </w:r>
      <w:r w:rsidR="00BC1E25" w:rsidRPr="00BC1E25">
        <w:rPr>
          <w:sz w:val="24"/>
          <w:szCs w:val="24"/>
        </w:rPr>
        <w:t>;</w:t>
      </w:r>
      <w:r w:rsidR="0047413D">
        <w:rPr>
          <w:sz w:val="24"/>
          <w:szCs w:val="24"/>
        </w:rPr>
        <w:t xml:space="preserve"> </w:t>
      </w:r>
      <w:r w:rsidR="0083486B">
        <w:rPr>
          <w:sz w:val="24"/>
          <w:szCs w:val="24"/>
        </w:rPr>
        <w:t>данные Выборочного наблюдения доходов населения и участия в социальных программах (ВНДН) за 2017 год; данные К</w:t>
      </w:r>
      <w:r w:rsidR="0083486B" w:rsidRPr="0083486B">
        <w:rPr>
          <w:sz w:val="24"/>
          <w:szCs w:val="24"/>
        </w:rPr>
        <w:t>омплексно</w:t>
      </w:r>
      <w:r w:rsidR="0083486B">
        <w:rPr>
          <w:sz w:val="24"/>
          <w:szCs w:val="24"/>
        </w:rPr>
        <w:t>го</w:t>
      </w:r>
      <w:r w:rsidR="0083486B" w:rsidRPr="0083486B">
        <w:rPr>
          <w:sz w:val="24"/>
          <w:szCs w:val="24"/>
        </w:rPr>
        <w:t xml:space="preserve"> наблюдени</w:t>
      </w:r>
      <w:r w:rsidR="0083486B">
        <w:rPr>
          <w:sz w:val="24"/>
          <w:szCs w:val="24"/>
        </w:rPr>
        <w:t>я</w:t>
      </w:r>
      <w:r w:rsidR="0083486B" w:rsidRPr="0083486B">
        <w:rPr>
          <w:sz w:val="24"/>
          <w:szCs w:val="24"/>
        </w:rPr>
        <w:t xml:space="preserve"> условий жизни населения</w:t>
      </w:r>
      <w:r w:rsidR="0083486B">
        <w:rPr>
          <w:sz w:val="24"/>
          <w:szCs w:val="24"/>
        </w:rPr>
        <w:t xml:space="preserve"> (КОУЖ) за 2016 год; данные Обследования бюджетов домашних хозяйств (ОБДХ) за 2015 год; данные </w:t>
      </w:r>
      <w:r w:rsidR="0083486B" w:rsidRPr="0083486B">
        <w:rPr>
          <w:sz w:val="24"/>
          <w:szCs w:val="24"/>
        </w:rPr>
        <w:t>Выборочно</w:t>
      </w:r>
      <w:r w:rsidR="0083486B">
        <w:rPr>
          <w:sz w:val="24"/>
          <w:szCs w:val="24"/>
        </w:rPr>
        <w:t>го</w:t>
      </w:r>
      <w:r w:rsidR="0083486B" w:rsidRPr="0083486B">
        <w:rPr>
          <w:sz w:val="24"/>
          <w:szCs w:val="24"/>
        </w:rPr>
        <w:t xml:space="preserve"> наблюдени</w:t>
      </w:r>
      <w:r w:rsidR="0083486B">
        <w:rPr>
          <w:sz w:val="24"/>
          <w:szCs w:val="24"/>
        </w:rPr>
        <w:t>я</w:t>
      </w:r>
      <w:r w:rsidR="0083486B" w:rsidRPr="0083486B">
        <w:rPr>
          <w:sz w:val="24"/>
          <w:szCs w:val="24"/>
        </w:rPr>
        <w:t xml:space="preserve"> качества и доступности услуг в сферах образования, здравоохранения и социального обслуживания, содейств</w:t>
      </w:r>
      <w:r w:rsidR="0083486B">
        <w:rPr>
          <w:sz w:val="24"/>
          <w:szCs w:val="24"/>
        </w:rPr>
        <w:t>ия занятости населения (КДУ</w:t>
      </w:r>
      <w:r w:rsidR="0083486B" w:rsidRPr="0083486B">
        <w:rPr>
          <w:sz w:val="24"/>
          <w:szCs w:val="24"/>
        </w:rPr>
        <w:t xml:space="preserve">) </w:t>
      </w:r>
      <w:r w:rsidR="0083486B">
        <w:rPr>
          <w:sz w:val="24"/>
          <w:szCs w:val="24"/>
        </w:rPr>
        <w:t xml:space="preserve">за 2017 </w:t>
      </w:r>
      <w:r w:rsidR="0083486B" w:rsidRPr="0083486B">
        <w:rPr>
          <w:sz w:val="24"/>
          <w:szCs w:val="24"/>
        </w:rPr>
        <w:t xml:space="preserve">год; данные Всемирного банка и ОЭСР по уровню бедности и объему ВВП за период с 2000 по 2017 год; </w:t>
      </w:r>
      <w:r w:rsidR="0083486B" w:rsidRPr="0083486B">
        <w:rPr>
          <w:bCs/>
          <w:sz w:val="24"/>
          <w:szCs w:val="24"/>
        </w:rPr>
        <w:t>данные, находящиеся в открытом доступе на портале Федеральной службы государственной статистики и других организаций, публикующих релевантную теме работы информацию</w:t>
      </w:r>
      <w:r w:rsidR="00774E94" w:rsidRPr="0083486B">
        <w:rPr>
          <w:sz w:val="24"/>
          <w:szCs w:val="24"/>
        </w:rPr>
        <w:t>.</w:t>
      </w:r>
    </w:p>
    <w:p w:rsidR="000D22A4" w:rsidRPr="00643B86" w:rsidRDefault="00D91E1B" w:rsidP="00477A42">
      <w:pPr>
        <w:pStyle w:val="a9"/>
        <w:numPr>
          <w:ilvl w:val="0"/>
          <w:numId w:val="2"/>
        </w:numPr>
        <w:ind w:left="0" w:firstLine="0"/>
        <w:rPr>
          <w:sz w:val="24"/>
          <w:szCs w:val="24"/>
        </w:rPr>
      </w:pPr>
      <w:r w:rsidRPr="006B2A42">
        <w:rPr>
          <w:b/>
          <w:sz w:val="24"/>
          <w:szCs w:val="24"/>
        </w:rPr>
        <w:t>Результаты работы:</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 xml:space="preserve">В России в качестве Национальной цели развития заявлено снижение уровня бедности с 13,2% в 2017 году до 6,6% в 2024 году. В истории нашей страны имеются примеры двукратного сокращения этого показателя: он был снижен с 29,0% в 2000 году до 15,2% в 2006 году. Сделано это было за счет вывода из бедности пенсионеров и однодетных домохозяйств. Однако сегодня повторение данного сценария невозможно. А действующих на сегодняшний день мер социальной поддержки недостаточно для запланированного снижения бедности, о чем свидетельствует отмеченный в первом полугодии 2019 года рост доли малоимущего населения. </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Результаты межстрановых сопоставлений, сделанных на основе данных Всемирного банка и ОЭСР, показывают, что одним из важных факторов снижения бедности является экономический рост. Однако оценки, полученные в ходе моделирования на данных ВНДН-2017, свидетельствуют о недостаточности его влияния для достижения целевого уровня бедности. Согласно расчетам, к 2024 году за счет экономического роста</w:t>
      </w:r>
      <w:r w:rsidR="0099097F">
        <w:rPr>
          <w:rFonts w:ascii="Times New Roman" w:eastAsia="Times New Roman" w:hAnsi="Times New Roman" w:cs="Times New Roman"/>
          <w:color w:val="000000"/>
          <w:sz w:val="24"/>
          <w:szCs w:val="24"/>
          <w:lang w:eastAsia="ru-RU"/>
        </w:rPr>
        <w:t xml:space="preserve"> (с учетом изменений половозрастной структуры населения и границ </w:t>
      </w:r>
      <w:r w:rsidR="0099097F">
        <w:rPr>
          <w:rFonts w:ascii="Times New Roman" w:eastAsia="Times New Roman" w:hAnsi="Times New Roman" w:cs="Times New Roman"/>
          <w:color w:val="000000"/>
          <w:sz w:val="24"/>
          <w:szCs w:val="24"/>
          <w:lang w:eastAsia="ru-RU"/>
        </w:rPr>
        <w:lastRenderedPageBreak/>
        <w:t>пенсионного возраста)</w:t>
      </w:r>
      <w:r w:rsidRPr="00FD3B8C">
        <w:rPr>
          <w:rFonts w:ascii="Times New Roman" w:eastAsia="Times New Roman" w:hAnsi="Times New Roman" w:cs="Times New Roman"/>
          <w:color w:val="000000"/>
          <w:sz w:val="24"/>
          <w:szCs w:val="24"/>
          <w:lang w:eastAsia="ru-RU"/>
        </w:rPr>
        <w:t xml:space="preserve"> доля малоимущего населения может быть снижена только до 9,9%</w:t>
      </w:r>
      <w:r w:rsidR="0099097F">
        <w:rPr>
          <w:rFonts w:ascii="Times New Roman" w:eastAsia="Times New Roman" w:hAnsi="Times New Roman" w:cs="Times New Roman"/>
          <w:color w:val="000000"/>
          <w:sz w:val="24"/>
          <w:szCs w:val="24"/>
          <w:lang w:eastAsia="ru-RU"/>
        </w:rPr>
        <w:t>, что свидетельствует о необходимости внедрения новых мер социальной поддержки</w:t>
      </w:r>
      <w:r w:rsidRPr="00FD3B8C">
        <w:rPr>
          <w:rFonts w:ascii="Times New Roman" w:eastAsia="Times New Roman" w:hAnsi="Times New Roman" w:cs="Times New Roman"/>
          <w:color w:val="000000"/>
          <w:sz w:val="24"/>
          <w:szCs w:val="24"/>
          <w:lang w:eastAsia="ru-RU"/>
        </w:rPr>
        <w:t xml:space="preserve">. </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Меры социальной поддержки, предлагаемые для снижения бедности, лежат в трех областях: в сфере рынка труда, образования и социальных выплат. Анализ предлагаемых мер, нацеленных на повышение доходов населения, показывает, что большинство из них могут оказать только слабое прямое или косвенное влияние на снижение уровня бедности. Помимо этого, часть из них «работают» на удержание уже достигнутых показателей. Суммарный эффект от всех предложенных мер составит 0,2 п.п. и приведет к снижению уровня бедности до 9,7%.</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В силу отсутствия информации о механизмах реализации и источниках финансирования при построении прогноза доли малоимущего населения не была учтена такая мера, как оказание помощи на основании государственного социального контракта. В 2019 году работа над уточнением различных ее аспектов велась как на федеральном уровне, так и в ходе реализации региональных пилотных проектов, нацеленных на снижение уровня бедности. Всего в проекты было включено 10 регионов (8 из них – на старте проекта, еще 2 – добавлены позднее)</w:t>
      </w:r>
      <w:r w:rsidR="0068401E">
        <w:rPr>
          <w:rFonts w:ascii="Times New Roman" w:eastAsia="Times New Roman" w:hAnsi="Times New Roman" w:cs="Times New Roman"/>
          <w:color w:val="000000"/>
          <w:sz w:val="24"/>
          <w:szCs w:val="24"/>
          <w:lang w:eastAsia="ru-RU"/>
        </w:rPr>
        <w:t xml:space="preserve">, имеющих различные показатели бедности, от </w:t>
      </w:r>
      <w:r w:rsidR="00ED761D">
        <w:rPr>
          <w:rFonts w:ascii="Times New Roman" w:eastAsia="Times New Roman" w:hAnsi="Times New Roman" w:cs="Times New Roman"/>
          <w:color w:val="000000"/>
          <w:sz w:val="24"/>
          <w:szCs w:val="24"/>
          <w:lang w:eastAsia="ru-RU"/>
        </w:rPr>
        <w:t>40,5</w:t>
      </w:r>
      <w:r w:rsidR="0068401E">
        <w:rPr>
          <w:rFonts w:ascii="Times New Roman" w:eastAsia="Times New Roman" w:hAnsi="Times New Roman" w:cs="Times New Roman"/>
          <w:color w:val="000000"/>
          <w:sz w:val="24"/>
          <w:szCs w:val="24"/>
          <w:lang w:eastAsia="ru-RU"/>
        </w:rPr>
        <w:t xml:space="preserve">% на 2017 год в </w:t>
      </w:r>
      <w:r w:rsidR="00A71712">
        <w:rPr>
          <w:rFonts w:ascii="Times New Roman" w:eastAsia="Times New Roman" w:hAnsi="Times New Roman" w:cs="Times New Roman"/>
          <w:color w:val="000000"/>
          <w:sz w:val="24"/>
          <w:szCs w:val="24"/>
          <w:lang w:eastAsia="ru-RU"/>
        </w:rPr>
        <w:t>Р</w:t>
      </w:r>
      <w:r w:rsidR="0068401E">
        <w:rPr>
          <w:rFonts w:ascii="Times New Roman" w:eastAsia="Times New Roman" w:hAnsi="Times New Roman" w:cs="Times New Roman"/>
          <w:color w:val="000000"/>
          <w:sz w:val="24"/>
          <w:szCs w:val="24"/>
          <w:lang w:eastAsia="ru-RU"/>
        </w:rPr>
        <w:t xml:space="preserve">еспублике </w:t>
      </w:r>
      <w:r w:rsidR="00ED761D">
        <w:rPr>
          <w:rFonts w:ascii="Times New Roman" w:eastAsia="Times New Roman" w:hAnsi="Times New Roman" w:cs="Times New Roman"/>
          <w:color w:val="000000"/>
          <w:sz w:val="24"/>
          <w:szCs w:val="24"/>
          <w:lang w:eastAsia="ru-RU"/>
        </w:rPr>
        <w:t xml:space="preserve">Тыва </w:t>
      </w:r>
      <w:r w:rsidR="0068401E">
        <w:rPr>
          <w:rFonts w:ascii="Times New Roman" w:eastAsia="Times New Roman" w:hAnsi="Times New Roman" w:cs="Times New Roman"/>
          <w:color w:val="000000"/>
          <w:sz w:val="24"/>
          <w:szCs w:val="24"/>
          <w:lang w:eastAsia="ru-RU"/>
        </w:rPr>
        <w:t xml:space="preserve">до </w:t>
      </w:r>
      <w:r w:rsidR="00A71712">
        <w:rPr>
          <w:rFonts w:ascii="Times New Roman" w:eastAsia="Times New Roman" w:hAnsi="Times New Roman" w:cs="Times New Roman"/>
          <w:color w:val="000000"/>
          <w:sz w:val="24"/>
          <w:szCs w:val="24"/>
          <w:lang w:eastAsia="ru-RU"/>
        </w:rPr>
        <w:t>7,4% в Республике Татарстан</w:t>
      </w:r>
      <w:r w:rsidRPr="00FD3B8C">
        <w:rPr>
          <w:rFonts w:ascii="Times New Roman" w:eastAsia="Times New Roman" w:hAnsi="Times New Roman" w:cs="Times New Roman"/>
          <w:color w:val="000000"/>
          <w:sz w:val="24"/>
          <w:szCs w:val="24"/>
          <w:lang w:eastAsia="ru-RU"/>
        </w:rPr>
        <w:t>. На сегодняшний день достигнут значительный прогресс в части работы с механизмом социального контракта, выявлены основные направления его реализации: помощь в поиске работы и трудоустройстве, помощь по прохождению профессионального обучения и дополнительного профессионального образования, оказание помощи по осуществлению индивидуальной предпринимательской деятельности и другие мероприятия, ориентированные на преодоление трудной жизненной ситуации.</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 xml:space="preserve">Помимо работы над предложениями по мерам социальной поддержки, в рамках пилотных проектов представителями субъектов федерации был проведен анализ ситуации в сфере доходов населения и бедности в регионах, особое внимание было уделено статусу создания реестров малоимущего населения, вопросам работы Единой государственной системы социального обеспечения и особенностям работы с инвалидами и лицами, осуществляющими уход за ними. </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Важность социального контракта для решения проблемы бедности подчеркивают результаты построения на данных ВНДН-2017 профилей малоимущего населения и выявленные факторы бедности. Как для России в целом, так и для отдельных регионов, отмечается более высокая доля бедных в домохозяйствах, в составе которых есть незанятые трудоспособные. Риски бедности также повышает наличие в семье детей, членов семьи без высшего образования и проживание в сельской местности.</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 xml:space="preserve">Анализ профилей малоимущих дополняет работа с факторами бедности домохозяйств или ключевыми проблемами, выталкивающими семьи за черту бедности. Рассмотрение таких факторов, как низкий уровень человеческого капитала членов домохозяйства, плохая его капитализация, наличие в составе семьи детей в возрасте до 15 лет, отсутствие трудового дохода и слабая социальная защита, демонстрирует наибольшую распространенность проблем низкой отдачи на имеющиеся у россиян знания и навыки (или уровень образования). Для бедных семей в России </w:t>
      </w:r>
      <w:r w:rsidR="0099097F">
        <w:rPr>
          <w:rFonts w:ascii="Times New Roman" w:eastAsia="Times New Roman" w:hAnsi="Times New Roman" w:cs="Times New Roman"/>
          <w:color w:val="000000"/>
          <w:sz w:val="24"/>
          <w:szCs w:val="24"/>
          <w:lang w:eastAsia="ru-RU"/>
        </w:rPr>
        <w:t xml:space="preserve">в целом </w:t>
      </w:r>
      <w:r w:rsidRPr="00FD3B8C">
        <w:rPr>
          <w:rFonts w:ascii="Times New Roman" w:eastAsia="Times New Roman" w:hAnsi="Times New Roman" w:cs="Times New Roman"/>
          <w:color w:val="000000"/>
          <w:sz w:val="24"/>
          <w:szCs w:val="24"/>
          <w:lang w:eastAsia="ru-RU"/>
        </w:rPr>
        <w:t xml:space="preserve">и в подавляющем большинстве пилотных регионов, наиболее остро стоит проблема нехватки средств для удовлетворения собственных потребностей и потребностей детей. Также более половины всех семей в регионах сталкиваются с недостаточностью мер социальной поддержки для увеличения их среднедушевого дохода до размера прожиточного минимума. </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 xml:space="preserve">Анализ изменений в структуре бедного населения, проведенный на данных РМЭЗ НИУ ВШЭ, позволяет говорить о невозможности полного преодоления проблемы бедности: до трети всех малоимущих ежегодно составляют те, чьи доходы оказались ниже прожиточного минимума только в текущем году. Помимо этого, отмечается рост хронической бедности (пребывания в числе бедных два года и более). Эта тенденция сохраняется как при анализе ежегодных данных, так и при рассмотрении трехгодичных </w:t>
      </w:r>
      <w:r w:rsidR="007F03CF">
        <w:rPr>
          <w:rFonts w:ascii="Times New Roman" w:eastAsia="Times New Roman" w:hAnsi="Times New Roman" w:cs="Times New Roman"/>
          <w:color w:val="000000"/>
          <w:sz w:val="24"/>
          <w:szCs w:val="24"/>
          <w:lang w:eastAsia="ru-RU"/>
        </w:rPr>
        <w:t xml:space="preserve">временных </w:t>
      </w:r>
      <w:r w:rsidRPr="00FD3B8C">
        <w:rPr>
          <w:rFonts w:ascii="Times New Roman" w:eastAsia="Times New Roman" w:hAnsi="Times New Roman" w:cs="Times New Roman"/>
          <w:color w:val="000000"/>
          <w:sz w:val="24"/>
          <w:szCs w:val="24"/>
          <w:lang w:eastAsia="ru-RU"/>
        </w:rPr>
        <w:t xml:space="preserve">интервалов.  </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Профили хронически бедных домохозяйств во многом повторяют профили бедного населения. В группе тех, кто не может преодолеть бедность за короткий срок</w:t>
      </w:r>
      <w:r w:rsidR="0068401E">
        <w:rPr>
          <w:rFonts w:ascii="Times New Roman" w:eastAsia="Times New Roman" w:hAnsi="Times New Roman" w:cs="Times New Roman"/>
          <w:color w:val="000000"/>
          <w:sz w:val="24"/>
          <w:szCs w:val="24"/>
          <w:lang w:eastAsia="ru-RU"/>
        </w:rPr>
        <w:t>,</w:t>
      </w:r>
      <w:r w:rsidRPr="00FD3B8C">
        <w:rPr>
          <w:rFonts w:ascii="Times New Roman" w:eastAsia="Times New Roman" w:hAnsi="Times New Roman" w:cs="Times New Roman"/>
          <w:color w:val="000000"/>
          <w:sz w:val="24"/>
          <w:szCs w:val="24"/>
          <w:lang w:eastAsia="ru-RU"/>
        </w:rPr>
        <w:t xml:space="preserve"> - семьи с детьми, одинокие родители, домохозяйства с незанятыми трудоспособными и жители сельской местности. </w:t>
      </w:r>
    </w:p>
    <w:p w:rsidR="00FD3B8C" w:rsidRPr="00FD3B8C" w:rsidRDefault="00FD3B8C" w:rsidP="00FD3B8C">
      <w:pPr>
        <w:spacing w:after="0" w:line="240" w:lineRule="auto"/>
        <w:ind w:firstLine="709"/>
        <w:jc w:val="both"/>
        <w:rPr>
          <w:rFonts w:ascii="Times New Roman" w:eastAsia="Times New Roman" w:hAnsi="Times New Roman" w:cs="Times New Roman"/>
          <w:color w:val="000000"/>
          <w:sz w:val="24"/>
          <w:szCs w:val="24"/>
          <w:lang w:eastAsia="ru-RU"/>
        </w:rPr>
      </w:pPr>
      <w:r w:rsidRPr="00FD3B8C">
        <w:rPr>
          <w:rFonts w:ascii="Times New Roman" w:eastAsia="Times New Roman" w:hAnsi="Times New Roman" w:cs="Times New Roman"/>
          <w:color w:val="000000"/>
          <w:sz w:val="24"/>
          <w:szCs w:val="24"/>
          <w:lang w:eastAsia="ru-RU"/>
        </w:rPr>
        <w:t>Анализ методики формирования величины прожиточного минимума свидетельствует о несоответствии состава продуктовой корзины нормам сбалансированного питания и зависимости используемых в расчетах цен от состава выборки магазинов, в которых собираются данные о стоимости товаров. При расчете непродовольственной части вопросы вызывает признание ряда услуг априори бесплатными, а также несоответствие принятого соотношения стоимости непродовольственной и продовольственной части корзины реальной структуре потребления бедных домохозяйств. Корректировка состава и стоимости потребительской корзины с учетом рациональных норм питания, предложенных Минздравом, приводит к увеличению прожиточного минимума. При пересчете потребительской корзины с учетом требований к питанию Минздрава  ее стоимость по России в целом в 2016 году для трудоспособного населения состави</w:t>
      </w:r>
      <w:r w:rsidR="0068401E">
        <w:rPr>
          <w:rFonts w:ascii="Times New Roman" w:eastAsia="Times New Roman" w:hAnsi="Times New Roman" w:cs="Times New Roman"/>
          <w:color w:val="000000"/>
          <w:sz w:val="24"/>
          <w:szCs w:val="24"/>
          <w:lang w:eastAsia="ru-RU"/>
        </w:rPr>
        <w:t>т</w:t>
      </w:r>
      <w:r w:rsidRPr="00FD3B8C">
        <w:rPr>
          <w:rFonts w:ascii="Times New Roman" w:eastAsia="Times New Roman" w:hAnsi="Times New Roman" w:cs="Times New Roman"/>
          <w:color w:val="000000"/>
          <w:sz w:val="24"/>
          <w:szCs w:val="24"/>
          <w:lang w:eastAsia="ru-RU"/>
        </w:rPr>
        <w:t xml:space="preserve"> 13 136,6 рублей</w:t>
      </w:r>
      <w:r w:rsidR="0068401E">
        <w:rPr>
          <w:rFonts w:ascii="Times New Roman" w:eastAsia="Times New Roman" w:hAnsi="Times New Roman" w:cs="Times New Roman"/>
          <w:color w:val="000000"/>
          <w:sz w:val="24"/>
          <w:szCs w:val="24"/>
          <w:lang w:eastAsia="ru-RU"/>
        </w:rPr>
        <w:t xml:space="preserve"> (</w:t>
      </w:r>
      <w:r w:rsidRPr="00FD3B8C">
        <w:rPr>
          <w:rFonts w:ascii="Times New Roman" w:eastAsia="Times New Roman" w:hAnsi="Times New Roman" w:cs="Times New Roman"/>
          <w:color w:val="000000"/>
          <w:sz w:val="24"/>
          <w:szCs w:val="24"/>
          <w:lang w:eastAsia="ru-RU"/>
        </w:rPr>
        <w:t>действующий прожиточный минимум на 2016 год - 10 957,5 рублей</w:t>
      </w:r>
      <w:r w:rsidR="0068401E">
        <w:rPr>
          <w:rFonts w:ascii="Times New Roman" w:eastAsia="Times New Roman" w:hAnsi="Times New Roman" w:cs="Times New Roman"/>
          <w:color w:val="000000"/>
          <w:sz w:val="24"/>
          <w:szCs w:val="24"/>
          <w:lang w:eastAsia="ru-RU"/>
        </w:rPr>
        <w:t>)</w:t>
      </w:r>
      <w:r w:rsidRPr="00FD3B8C">
        <w:rPr>
          <w:rFonts w:ascii="Times New Roman" w:eastAsia="Times New Roman" w:hAnsi="Times New Roman" w:cs="Times New Roman"/>
          <w:color w:val="000000"/>
          <w:sz w:val="24"/>
          <w:szCs w:val="24"/>
          <w:lang w:eastAsia="ru-RU"/>
        </w:rPr>
        <w:t>.  При использовании для расчета состава потребительской корзины требований Минздрава и фактической структуры потребления бедных слоев населения</w:t>
      </w:r>
      <w:r w:rsidR="0068401E">
        <w:rPr>
          <w:rFonts w:ascii="Times New Roman" w:eastAsia="Times New Roman" w:hAnsi="Times New Roman" w:cs="Times New Roman"/>
          <w:color w:val="000000"/>
          <w:sz w:val="24"/>
          <w:szCs w:val="24"/>
          <w:lang w:eastAsia="ru-RU"/>
        </w:rPr>
        <w:t xml:space="preserve"> (оценка структуры потребления сделана на данных ОБДХ-2015)</w:t>
      </w:r>
      <w:r w:rsidRPr="00FD3B8C">
        <w:rPr>
          <w:rFonts w:ascii="Times New Roman" w:eastAsia="Times New Roman" w:hAnsi="Times New Roman" w:cs="Times New Roman"/>
          <w:color w:val="000000"/>
          <w:sz w:val="24"/>
          <w:szCs w:val="24"/>
          <w:lang w:eastAsia="ru-RU"/>
        </w:rPr>
        <w:t xml:space="preserve">, ее стоимость составляет 13 447,1 рубль для трудоспособного населения. При использовании методики, применяемой в США (стоимость продуктов питания составляет треть стоимости корзины) величина прожиточного минимума составила – 17420,5 рублей для трудоспособных. </w:t>
      </w:r>
      <w:r w:rsidR="007F03CF">
        <w:rPr>
          <w:rFonts w:ascii="Times New Roman" w:eastAsia="Times New Roman" w:hAnsi="Times New Roman" w:cs="Times New Roman"/>
          <w:color w:val="000000"/>
          <w:sz w:val="24"/>
          <w:szCs w:val="24"/>
          <w:lang w:eastAsia="ru-RU"/>
        </w:rPr>
        <w:t>Как было показано выше, с</w:t>
      </w:r>
      <w:r w:rsidR="0068401E">
        <w:rPr>
          <w:rFonts w:ascii="Times New Roman" w:eastAsia="Times New Roman" w:hAnsi="Times New Roman" w:cs="Times New Roman"/>
          <w:color w:val="000000"/>
          <w:sz w:val="24"/>
          <w:szCs w:val="24"/>
          <w:lang w:eastAsia="ru-RU"/>
        </w:rPr>
        <w:t>огласно оценкам на данных ВНДН-2017, п</w:t>
      </w:r>
      <w:r w:rsidRPr="00FD3B8C">
        <w:rPr>
          <w:rFonts w:ascii="Times New Roman" w:eastAsia="Times New Roman" w:hAnsi="Times New Roman" w:cs="Times New Roman"/>
          <w:color w:val="000000"/>
          <w:sz w:val="24"/>
          <w:szCs w:val="24"/>
          <w:lang w:eastAsia="ru-RU"/>
        </w:rPr>
        <w:t xml:space="preserve">ри сохранении действующего алгоритма расчета прожиточного минимума уровень бедности к 2024 г. составит 9,9% (с учетом влияния экономического роста, но без учета влияния </w:t>
      </w:r>
      <w:r w:rsidR="007F03CF">
        <w:rPr>
          <w:rFonts w:ascii="Times New Roman" w:eastAsia="Times New Roman" w:hAnsi="Times New Roman" w:cs="Times New Roman"/>
          <w:color w:val="000000"/>
          <w:sz w:val="24"/>
          <w:szCs w:val="24"/>
          <w:lang w:eastAsia="ru-RU"/>
        </w:rPr>
        <w:t>новых мер социальной поддержки).</w:t>
      </w:r>
      <w:r w:rsidRPr="00FD3B8C">
        <w:rPr>
          <w:rFonts w:ascii="Times New Roman" w:eastAsia="Times New Roman" w:hAnsi="Times New Roman" w:cs="Times New Roman"/>
          <w:color w:val="000000"/>
          <w:sz w:val="24"/>
          <w:szCs w:val="24"/>
          <w:lang w:eastAsia="ru-RU"/>
        </w:rPr>
        <w:t xml:space="preserve"> </w:t>
      </w:r>
      <w:r w:rsidR="007F03CF">
        <w:rPr>
          <w:rFonts w:ascii="Times New Roman" w:eastAsia="Times New Roman" w:hAnsi="Times New Roman" w:cs="Times New Roman"/>
          <w:color w:val="000000"/>
          <w:sz w:val="24"/>
          <w:szCs w:val="24"/>
          <w:lang w:eastAsia="ru-RU"/>
        </w:rPr>
        <w:t>П</w:t>
      </w:r>
      <w:r w:rsidRPr="00FD3B8C">
        <w:rPr>
          <w:rFonts w:ascii="Times New Roman" w:eastAsia="Times New Roman" w:hAnsi="Times New Roman" w:cs="Times New Roman"/>
          <w:color w:val="000000"/>
          <w:sz w:val="24"/>
          <w:szCs w:val="24"/>
          <w:lang w:eastAsia="ru-RU"/>
        </w:rPr>
        <w:t>ри переходе на рациональные нормы потребления пищевых продуктов – около 19%, а при использовании методики, принятой в США – 32,5%.</w:t>
      </w:r>
    </w:p>
    <w:p w:rsidR="00183A44" w:rsidRPr="00183A44" w:rsidRDefault="00FD3B8C" w:rsidP="00FD3B8C">
      <w:pPr>
        <w:spacing w:after="0" w:line="240" w:lineRule="auto"/>
        <w:ind w:firstLine="709"/>
        <w:jc w:val="both"/>
        <w:rPr>
          <w:rFonts w:ascii="Times New Roman" w:eastAsia="Times New Roman" w:hAnsi="Times New Roman" w:cs="Times New Roman"/>
          <w:sz w:val="24"/>
          <w:szCs w:val="24"/>
          <w:lang w:eastAsia="ru-RU"/>
        </w:rPr>
      </w:pPr>
      <w:r w:rsidRPr="00FD3B8C">
        <w:rPr>
          <w:rFonts w:ascii="Times New Roman" w:eastAsia="Times New Roman" w:hAnsi="Times New Roman" w:cs="Times New Roman"/>
          <w:color w:val="000000"/>
          <w:sz w:val="24"/>
          <w:szCs w:val="24"/>
          <w:lang w:eastAsia="ru-RU"/>
        </w:rPr>
        <w:t>Сравнительный анализ использования для расчета уровня и профилей бедности показателей доходов и расходов</w:t>
      </w:r>
      <w:r w:rsidR="0068401E">
        <w:rPr>
          <w:rFonts w:ascii="Times New Roman" w:eastAsia="Times New Roman" w:hAnsi="Times New Roman" w:cs="Times New Roman"/>
          <w:color w:val="000000"/>
          <w:sz w:val="24"/>
          <w:szCs w:val="24"/>
          <w:lang w:eastAsia="ru-RU"/>
        </w:rPr>
        <w:t xml:space="preserve"> на данных РМЭЗ НИУ ВШЭ</w:t>
      </w:r>
      <w:r w:rsidR="007F03CF">
        <w:rPr>
          <w:rFonts w:ascii="Times New Roman" w:eastAsia="Times New Roman" w:hAnsi="Times New Roman" w:cs="Times New Roman"/>
          <w:color w:val="000000"/>
          <w:sz w:val="24"/>
          <w:szCs w:val="24"/>
          <w:lang w:eastAsia="ru-RU"/>
        </w:rPr>
        <w:t>-2017</w:t>
      </w:r>
      <w:r w:rsidRPr="00FD3B8C">
        <w:rPr>
          <w:rFonts w:ascii="Times New Roman" w:eastAsia="Times New Roman" w:hAnsi="Times New Roman" w:cs="Times New Roman"/>
          <w:color w:val="000000"/>
          <w:sz w:val="24"/>
          <w:szCs w:val="24"/>
          <w:lang w:eastAsia="ru-RU"/>
        </w:rPr>
        <w:t>, демонстрирует, что бедность «по расходам» оказывается значительно выше бедности «по доходам». При этом переход на показатель «среднедушевые денежные расходы» существенно меняет социально-демографический портрет бедности только в части оценок уровня бедности пенсионеров. Показатель расходов при оценке бедности домохозяйств, имеющих в своем составе пенсионеров, дает значительно более высокий уровень ее измерения, и небедные домохозяйства с пенсионерами по показателю денежных доходов при переходе на показатель расходов будут отнесены к бедным.</w:t>
      </w:r>
    </w:p>
    <w:p w:rsidR="008B784D" w:rsidRPr="008B784D" w:rsidRDefault="00D91E1B" w:rsidP="00477A42">
      <w:pPr>
        <w:pStyle w:val="a9"/>
        <w:numPr>
          <w:ilvl w:val="0"/>
          <w:numId w:val="2"/>
        </w:numPr>
        <w:spacing w:after="240"/>
        <w:ind w:left="0" w:firstLine="0"/>
        <w:rPr>
          <w:b/>
          <w:sz w:val="24"/>
          <w:szCs w:val="24"/>
        </w:rPr>
      </w:pPr>
      <w:r w:rsidRPr="00576728">
        <w:rPr>
          <w:b/>
          <w:sz w:val="24"/>
          <w:szCs w:val="24"/>
        </w:rPr>
        <w:t>Степень внедрения, рекомендации по внедрению или итоги внедрения результатов НИР</w:t>
      </w:r>
      <w:r w:rsidR="00F403E6">
        <w:rPr>
          <w:b/>
          <w:sz w:val="24"/>
          <w:szCs w:val="24"/>
        </w:rPr>
        <w:t xml:space="preserve"> (заполняется при возможности практического использования полученных результатов)</w:t>
      </w:r>
      <w:r w:rsidR="00285D90">
        <w:rPr>
          <w:b/>
          <w:sz w:val="24"/>
          <w:szCs w:val="24"/>
        </w:rPr>
        <w:t xml:space="preserve">: </w:t>
      </w:r>
      <w:r w:rsidR="008B784D" w:rsidRPr="008B784D">
        <w:rPr>
          <w:sz w:val="24"/>
          <w:szCs w:val="24"/>
        </w:rPr>
        <w:t xml:space="preserve">отдельные </w:t>
      </w:r>
      <w:r w:rsidR="00285D90" w:rsidRPr="008B784D">
        <w:rPr>
          <w:sz w:val="24"/>
          <w:szCs w:val="24"/>
        </w:rPr>
        <w:t>результаты</w:t>
      </w:r>
      <w:r w:rsidR="00285D90" w:rsidRPr="00285D90">
        <w:rPr>
          <w:sz w:val="24"/>
          <w:szCs w:val="24"/>
        </w:rPr>
        <w:t xml:space="preserve"> исследования </w:t>
      </w:r>
      <w:r w:rsidR="008B784D" w:rsidRPr="00B32C9A">
        <w:rPr>
          <w:sz w:val="24"/>
          <w:szCs w:val="24"/>
        </w:rPr>
        <w:t>были использованы при подготовке в 201</w:t>
      </w:r>
      <w:r w:rsidR="00FD3B8C">
        <w:rPr>
          <w:sz w:val="24"/>
          <w:szCs w:val="24"/>
        </w:rPr>
        <w:t>9</w:t>
      </w:r>
      <w:r w:rsidR="008B784D" w:rsidRPr="00B32C9A">
        <w:rPr>
          <w:sz w:val="24"/>
          <w:szCs w:val="24"/>
        </w:rPr>
        <w:t xml:space="preserve"> г. аналитических з</w:t>
      </w:r>
      <w:r w:rsidR="00456AA2">
        <w:rPr>
          <w:sz w:val="24"/>
          <w:szCs w:val="24"/>
        </w:rPr>
        <w:t>аписок и экспертных заключений</w:t>
      </w:r>
      <w:r w:rsidR="008B784D">
        <w:rPr>
          <w:b/>
          <w:sz w:val="24"/>
          <w:szCs w:val="24"/>
        </w:rPr>
        <w:t xml:space="preserve">, </w:t>
      </w:r>
      <w:r w:rsidR="008B784D" w:rsidRPr="008B784D">
        <w:rPr>
          <w:sz w:val="24"/>
          <w:szCs w:val="24"/>
        </w:rPr>
        <w:t xml:space="preserve">а также </w:t>
      </w:r>
      <w:r w:rsidR="00285D90" w:rsidRPr="008B784D">
        <w:rPr>
          <w:sz w:val="24"/>
          <w:szCs w:val="24"/>
        </w:rPr>
        <w:t xml:space="preserve">представлены на различных научно-практических </w:t>
      </w:r>
      <w:r w:rsidR="008B784D" w:rsidRPr="008B784D">
        <w:rPr>
          <w:sz w:val="24"/>
          <w:szCs w:val="24"/>
        </w:rPr>
        <w:t>мероприятиях.</w:t>
      </w:r>
      <w:r w:rsidR="00F80BD3">
        <w:rPr>
          <w:sz w:val="24"/>
          <w:szCs w:val="24"/>
        </w:rPr>
        <w:t xml:space="preserve"> </w:t>
      </w:r>
      <w:r w:rsidR="008B784D" w:rsidRPr="00B32C9A">
        <w:rPr>
          <w:sz w:val="24"/>
          <w:szCs w:val="24"/>
        </w:rPr>
        <w:t>Результаты данной работы могут быть использованы для консультирования</w:t>
      </w:r>
      <w:r w:rsidR="002B1310">
        <w:rPr>
          <w:sz w:val="24"/>
          <w:szCs w:val="24"/>
        </w:rPr>
        <w:t xml:space="preserve"> органов государственной власти, а также предложения методологических подходов для дальнейшего изучения </w:t>
      </w:r>
      <w:r w:rsidR="00FD3B8C">
        <w:rPr>
          <w:sz w:val="24"/>
          <w:szCs w:val="24"/>
        </w:rPr>
        <w:t>бедности</w:t>
      </w:r>
      <w:r w:rsidR="002B1310">
        <w:rPr>
          <w:sz w:val="24"/>
          <w:szCs w:val="24"/>
        </w:rPr>
        <w:t xml:space="preserve"> в России.</w:t>
      </w:r>
    </w:p>
    <w:sectPr w:rsidR="008B784D" w:rsidRPr="008B784D" w:rsidSect="00F534AE">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93" w:rsidRDefault="00485F93" w:rsidP="00F73371">
      <w:pPr>
        <w:spacing w:after="0" w:line="240" w:lineRule="auto"/>
      </w:pPr>
      <w:r>
        <w:separator/>
      </w:r>
    </w:p>
  </w:endnote>
  <w:endnote w:type="continuationSeparator" w:id="0">
    <w:p w:rsidR="00485F93" w:rsidRDefault="00485F93"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5080"/>
      <w:docPartObj>
        <w:docPartGallery w:val="Page Numbers (Bottom of Page)"/>
        <w:docPartUnique/>
      </w:docPartObj>
    </w:sdtPr>
    <w:sdtEndPr>
      <w:rPr>
        <w:rFonts w:ascii="Times New Roman" w:hAnsi="Times New Roman" w:cs="Times New Roman"/>
        <w:sz w:val="24"/>
        <w:szCs w:val="24"/>
      </w:rPr>
    </w:sdtEndPr>
    <w:sdtContent>
      <w:p w:rsidR="00F534AE" w:rsidRPr="00F534AE" w:rsidRDefault="00F534AE">
        <w:pPr>
          <w:pStyle w:val="a7"/>
          <w:jc w:val="center"/>
          <w:rPr>
            <w:rFonts w:ascii="Times New Roman" w:hAnsi="Times New Roman" w:cs="Times New Roman"/>
            <w:sz w:val="24"/>
            <w:szCs w:val="24"/>
          </w:rPr>
        </w:pPr>
        <w:r w:rsidRPr="00F534AE">
          <w:rPr>
            <w:rFonts w:ascii="Times New Roman" w:hAnsi="Times New Roman" w:cs="Times New Roman"/>
            <w:sz w:val="24"/>
            <w:szCs w:val="24"/>
          </w:rPr>
          <w:fldChar w:fldCharType="begin"/>
        </w:r>
        <w:r w:rsidRPr="00F534AE">
          <w:rPr>
            <w:rFonts w:ascii="Times New Roman" w:hAnsi="Times New Roman" w:cs="Times New Roman"/>
            <w:sz w:val="24"/>
            <w:szCs w:val="24"/>
          </w:rPr>
          <w:instrText>PAGE   \* MERGEFORMAT</w:instrText>
        </w:r>
        <w:r w:rsidRPr="00F534AE">
          <w:rPr>
            <w:rFonts w:ascii="Times New Roman" w:hAnsi="Times New Roman" w:cs="Times New Roman"/>
            <w:sz w:val="24"/>
            <w:szCs w:val="24"/>
          </w:rPr>
          <w:fldChar w:fldCharType="separate"/>
        </w:r>
        <w:r w:rsidR="00A038F5">
          <w:rPr>
            <w:rFonts w:ascii="Times New Roman" w:hAnsi="Times New Roman" w:cs="Times New Roman"/>
            <w:noProof/>
            <w:sz w:val="24"/>
            <w:szCs w:val="24"/>
          </w:rPr>
          <w:t>3</w:t>
        </w:r>
        <w:r w:rsidRPr="00F534A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93" w:rsidRDefault="00485F93" w:rsidP="00F73371">
      <w:pPr>
        <w:spacing w:after="0" w:line="240" w:lineRule="auto"/>
      </w:pPr>
      <w:r>
        <w:separator/>
      </w:r>
    </w:p>
  </w:footnote>
  <w:footnote w:type="continuationSeparator" w:id="0">
    <w:p w:rsidR="00485F93" w:rsidRDefault="00485F93" w:rsidP="00F7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47" w:rsidRPr="00F73371" w:rsidRDefault="00B54247" w:rsidP="00F7337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70"/>
    <w:multiLevelType w:val="hybridMultilevel"/>
    <w:tmpl w:val="EC503C02"/>
    <w:lvl w:ilvl="0" w:tplc="762AC198">
      <w:start w:val="1"/>
      <w:numFmt w:val="decimal"/>
      <w:lvlText w:val="1.1.%1"/>
      <w:lvlJc w:val="left"/>
      <w:pPr>
        <w:ind w:left="1428" w:hanging="360"/>
      </w:pPr>
      <w:rPr>
        <w:rFonts w:hint="default"/>
      </w:rPr>
    </w:lvl>
    <w:lvl w:ilvl="1" w:tplc="64601274">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A"/>
    <w:rsid w:val="00002D42"/>
    <w:rsid w:val="0002088E"/>
    <w:rsid w:val="00032897"/>
    <w:rsid w:val="00050241"/>
    <w:rsid w:val="00071DCD"/>
    <w:rsid w:val="0007475E"/>
    <w:rsid w:val="0009130C"/>
    <w:rsid w:val="00091608"/>
    <w:rsid w:val="000D22A4"/>
    <w:rsid w:val="000D4827"/>
    <w:rsid w:val="000E0E6F"/>
    <w:rsid w:val="000F09AB"/>
    <w:rsid w:val="001010F1"/>
    <w:rsid w:val="00106D72"/>
    <w:rsid w:val="00117A99"/>
    <w:rsid w:val="001419FD"/>
    <w:rsid w:val="001451C0"/>
    <w:rsid w:val="00182522"/>
    <w:rsid w:val="00183A44"/>
    <w:rsid w:val="00195123"/>
    <w:rsid w:val="001A39CE"/>
    <w:rsid w:val="001B1AA6"/>
    <w:rsid w:val="001B4A4C"/>
    <w:rsid w:val="001C50C1"/>
    <w:rsid w:val="001D0B3F"/>
    <w:rsid w:val="001D6863"/>
    <w:rsid w:val="001E1371"/>
    <w:rsid w:val="002116C5"/>
    <w:rsid w:val="002312FE"/>
    <w:rsid w:val="00244DFC"/>
    <w:rsid w:val="0024637B"/>
    <w:rsid w:val="002519B4"/>
    <w:rsid w:val="00274360"/>
    <w:rsid w:val="00285D90"/>
    <w:rsid w:val="00297FF4"/>
    <w:rsid w:val="002A61EB"/>
    <w:rsid w:val="002B1310"/>
    <w:rsid w:val="002B4D39"/>
    <w:rsid w:val="002B593A"/>
    <w:rsid w:val="002B7C90"/>
    <w:rsid w:val="002C2057"/>
    <w:rsid w:val="002C5377"/>
    <w:rsid w:val="002C57CA"/>
    <w:rsid w:val="002E42E9"/>
    <w:rsid w:val="002E4D71"/>
    <w:rsid w:val="002F249A"/>
    <w:rsid w:val="003108DE"/>
    <w:rsid w:val="003263E3"/>
    <w:rsid w:val="00391A85"/>
    <w:rsid w:val="003A3CDE"/>
    <w:rsid w:val="003B4258"/>
    <w:rsid w:val="003C6100"/>
    <w:rsid w:val="003D01E2"/>
    <w:rsid w:val="003D458B"/>
    <w:rsid w:val="003F4AAD"/>
    <w:rsid w:val="00402FCC"/>
    <w:rsid w:val="00417264"/>
    <w:rsid w:val="00420D30"/>
    <w:rsid w:val="00451D30"/>
    <w:rsid w:val="00456AA2"/>
    <w:rsid w:val="00473316"/>
    <w:rsid w:val="00473D96"/>
    <w:rsid w:val="0047413D"/>
    <w:rsid w:val="00477A42"/>
    <w:rsid w:val="00485F93"/>
    <w:rsid w:val="00486757"/>
    <w:rsid w:val="0049064B"/>
    <w:rsid w:val="004A3D35"/>
    <w:rsid w:val="004C10E0"/>
    <w:rsid w:val="004D38BF"/>
    <w:rsid w:val="004E5805"/>
    <w:rsid w:val="0050761F"/>
    <w:rsid w:val="0051126D"/>
    <w:rsid w:val="00523D5C"/>
    <w:rsid w:val="00525FE8"/>
    <w:rsid w:val="00546CBA"/>
    <w:rsid w:val="0057407C"/>
    <w:rsid w:val="00576728"/>
    <w:rsid w:val="00593447"/>
    <w:rsid w:val="005A64BB"/>
    <w:rsid w:val="005B1039"/>
    <w:rsid w:val="005D338F"/>
    <w:rsid w:val="005E03D3"/>
    <w:rsid w:val="006063E0"/>
    <w:rsid w:val="00621F99"/>
    <w:rsid w:val="00624454"/>
    <w:rsid w:val="006254DB"/>
    <w:rsid w:val="00635F77"/>
    <w:rsid w:val="00643B86"/>
    <w:rsid w:val="00651596"/>
    <w:rsid w:val="00662641"/>
    <w:rsid w:val="00674699"/>
    <w:rsid w:val="00680234"/>
    <w:rsid w:val="00682A1E"/>
    <w:rsid w:val="00682B4B"/>
    <w:rsid w:val="0068401E"/>
    <w:rsid w:val="006A69B2"/>
    <w:rsid w:val="006B2A42"/>
    <w:rsid w:val="006C04E5"/>
    <w:rsid w:val="006C6DDB"/>
    <w:rsid w:val="006E45F8"/>
    <w:rsid w:val="00700BE0"/>
    <w:rsid w:val="007114D9"/>
    <w:rsid w:val="00713E1A"/>
    <w:rsid w:val="007140CE"/>
    <w:rsid w:val="0073293A"/>
    <w:rsid w:val="00737276"/>
    <w:rsid w:val="00740DCA"/>
    <w:rsid w:val="007610B2"/>
    <w:rsid w:val="00774E94"/>
    <w:rsid w:val="007829E3"/>
    <w:rsid w:val="007865B4"/>
    <w:rsid w:val="007875E0"/>
    <w:rsid w:val="00796071"/>
    <w:rsid w:val="007A0BF0"/>
    <w:rsid w:val="007B15F2"/>
    <w:rsid w:val="007C6ED7"/>
    <w:rsid w:val="007D73DA"/>
    <w:rsid w:val="007F03CF"/>
    <w:rsid w:val="007F671D"/>
    <w:rsid w:val="007F77BD"/>
    <w:rsid w:val="0080536C"/>
    <w:rsid w:val="008272AB"/>
    <w:rsid w:val="0083486B"/>
    <w:rsid w:val="00853873"/>
    <w:rsid w:val="00857917"/>
    <w:rsid w:val="008B0627"/>
    <w:rsid w:val="008B784D"/>
    <w:rsid w:val="008E0A9C"/>
    <w:rsid w:val="008F67E4"/>
    <w:rsid w:val="009070CF"/>
    <w:rsid w:val="00922CC4"/>
    <w:rsid w:val="009251D4"/>
    <w:rsid w:val="00931E66"/>
    <w:rsid w:val="0094377E"/>
    <w:rsid w:val="009446AE"/>
    <w:rsid w:val="00986CB3"/>
    <w:rsid w:val="009908AB"/>
    <w:rsid w:val="0099097F"/>
    <w:rsid w:val="009B2092"/>
    <w:rsid w:val="009C4C78"/>
    <w:rsid w:val="009D212D"/>
    <w:rsid w:val="00A038F5"/>
    <w:rsid w:val="00A109EE"/>
    <w:rsid w:val="00A20295"/>
    <w:rsid w:val="00A22FEA"/>
    <w:rsid w:val="00A36F5E"/>
    <w:rsid w:val="00A43DCE"/>
    <w:rsid w:val="00A57EE7"/>
    <w:rsid w:val="00A615F9"/>
    <w:rsid w:val="00A6683C"/>
    <w:rsid w:val="00A71712"/>
    <w:rsid w:val="00A72CD2"/>
    <w:rsid w:val="00A85066"/>
    <w:rsid w:val="00A92BF0"/>
    <w:rsid w:val="00AC182B"/>
    <w:rsid w:val="00AD3C17"/>
    <w:rsid w:val="00AF3C31"/>
    <w:rsid w:val="00B1338F"/>
    <w:rsid w:val="00B13D24"/>
    <w:rsid w:val="00B373EE"/>
    <w:rsid w:val="00B429D9"/>
    <w:rsid w:val="00B54247"/>
    <w:rsid w:val="00B544D9"/>
    <w:rsid w:val="00B55419"/>
    <w:rsid w:val="00B61DD7"/>
    <w:rsid w:val="00BA7C65"/>
    <w:rsid w:val="00BB153F"/>
    <w:rsid w:val="00BB50C0"/>
    <w:rsid w:val="00BB745B"/>
    <w:rsid w:val="00BC1E25"/>
    <w:rsid w:val="00BC6C1C"/>
    <w:rsid w:val="00BD4C18"/>
    <w:rsid w:val="00BD5F92"/>
    <w:rsid w:val="00BE0846"/>
    <w:rsid w:val="00C00676"/>
    <w:rsid w:val="00C11DAC"/>
    <w:rsid w:val="00C23D2F"/>
    <w:rsid w:val="00C30094"/>
    <w:rsid w:val="00C40066"/>
    <w:rsid w:val="00C477DB"/>
    <w:rsid w:val="00C557F0"/>
    <w:rsid w:val="00C71E59"/>
    <w:rsid w:val="00C776F7"/>
    <w:rsid w:val="00C8241B"/>
    <w:rsid w:val="00CC3BC0"/>
    <w:rsid w:val="00CC6F60"/>
    <w:rsid w:val="00CF219D"/>
    <w:rsid w:val="00D030EC"/>
    <w:rsid w:val="00D14E44"/>
    <w:rsid w:val="00D24A67"/>
    <w:rsid w:val="00D2597E"/>
    <w:rsid w:val="00D3444A"/>
    <w:rsid w:val="00D55C5C"/>
    <w:rsid w:val="00D56BF9"/>
    <w:rsid w:val="00D91E1B"/>
    <w:rsid w:val="00D97EB0"/>
    <w:rsid w:val="00DA2F16"/>
    <w:rsid w:val="00DA684F"/>
    <w:rsid w:val="00DA7374"/>
    <w:rsid w:val="00DB6AFE"/>
    <w:rsid w:val="00DE46C7"/>
    <w:rsid w:val="00E0565B"/>
    <w:rsid w:val="00E20BC3"/>
    <w:rsid w:val="00E212E7"/>
    <w:rsid w:val="00E22976"/>
    <w:rsid w:val="00E23C51"/>
    <w:rsid w:val="00E2797F"/>
    <w:rsid w:val="00E4331A"/>
    <w:rsid w:val="00E50A5F"/>
    <w:rsid w:val="00E72A7A"/>
    <w:rsid w:val="00E825AB"/>
    <w:rsid w:val="00E970BE"/>
    <w:rsid w:val="00EA6597"/>
    <w:rsid w:val="00EB00DD"/>
    <w:rsid w:val="00EB3FD7"/>
    <w:rsid w:val="00EB5630"/>
    <w:rsid w:val="00ED10FF"/>
    <w:rsid w:val="00ED761D"/>
    <w:rsid w:val="00EF13D2"/>
    <w:rsid w:val="00EF49E9"/>
    <w:rsid w:val="00F016BF"/>
    <w:rsid w:val="00F067B9"/>
    <w:rsid w:val="00F22BF1"/>
    <w:rsid w:val="00F403E6"/>
    <w:rsid w:val="00F534AE"/>
    <w:rsid w:val="00F62D84"/>
    <w:rsid w:val="00F6771B"/>
    <w:rsid w:val="00F73371"/>
    <w:rsid w:val="00F7386E"/>
    <w:rsid w:val="00F80BD3"/>
    <w:rsid w:val="00F877ED"/>
    <w:rsid w:val="00F936AF"/>
    <w:rsid w:val="00FC537F"/>
    <w:rsid w:val="00FD3B8C"/>
    <w:rsid w:val="00FE2262"/>
    <w:rsid w:val="00FE29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91E1B"/>
    <w:rPr>
      <w:rFonts w:ascii="Times New Roman" w:eastAsia="Times New Roman" w:hAnsi="Times New Roman" w:cs="Times New Roman"/>
      <w:sz w:val="20"/>
      <w:szCs w:val="20"/>
      <w:lang w:eastAsia="ru-RU"/>
    </w:rPr>
  </w:style>
  <w:style w:type="paragraph" w:styleId="ab">
    <w:name w:val="Normal (Web)"/>
    <w:basedOn w:val="a"/>
    <w:semiHidden/>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c">
    <w:name w:val="Document Map"/>
    <w:basedOn w:val="a"/>
    <w:link w:val="ad"/>
    <w:uiPriority w:val="99"/>
    <w:semiHidden/>
    <w:unhideWhenUsed/>
    <w:rsid w:val="00244DFC"/>
    <w:pPr>
      <w:spacing w:after="0" w:line="240" w:lineRule="auto"/>
    </w:pPr>
    <w:rPr>
      <w:rFonts w:ascii="Lucida Grande" w:hAnsi="Lucida Grande" w:cs="Lucida Grande"/>
      <w:sz w:val="24"/>
      <w:szCs w:val="24"/>
    </w:rPr>
  </w:style>
  <w:style w:type="character" w:customStyle="1" w:styleId="ad">
    <w:name w:val="Схема документа Знак"/>
    <w:basedOn w:val="a0"/>
    <w:link w:val="ac"/>
    <w:uiPriority w:val="99"/>
    <w:semiHidden/>
    <w:rsid w:val="00244DFC"/>
    <w:rPr>
      <w:rFonts w:ascii="Lucida Grande" w:hAnsi="Lucida Grande" w:cs="Lucida Grande"/>
      <w:sz w:val="24"/>
      <w:szCs w:val="24"/>
    </w:rPr>
  </w:style>
  <w:style w:type="paragraph" w:customStyle="1" w:styleId="1">
    <w:name w:val="1. Текст"/>
    <w:basedOn w:val="a"/>
    <w:qFormat/>
    <w:rsid w:val="006B2A42"/>
    <w:pPr>
      <w:spacing w:after="0" w:line="360" w:lineRule="auto"/>
      <w:ind w:firstLine="709"/>
      <w:jc w:val="both"/>
    </w:pPr>
    <w:rPr>
      <w:rFonts w:ascii="Times New Roman" w:eastAsia="Times New Roman" w:hAnsi="Times New Roman" w:cs="Times New Roman"/>
      <w:kern w:val="22"/>
      <w:sz w:val="24"/>
      <w:szCs w:val="24"/>
      <w:lang w:eastAsia="ru-RU"/>
    </w:rPr>
  </w:style>
  <w:style w:type="paragraph" w:styleId="ae">
    <w:name w:val="footnote text"/>
    <w:basedOn w:val="a"/>
    <w:link w:val="af"/>
    <w:uiPriority w:val="99"/>
    <w:unhideWhenUsed/>
    <w:rsid w:val="00106D72"/>
    <w:pPr>
      <w:spacing w:after="0" w:line="240" w:lineRule="auto"/>
      <w:ind w:firstLine="360"/>
    </w:pPr>
    <w:rPr>
      <w:rFonts w:eastAsiaTheme="minorEastAsia"/>
      <w:sz w:val="20"/>
      <w:szCs w:val="20"/>
      <w:lang w:val="en-US" w:bidi="en-US"/>
    </w:rPr>
  </w:style>
  <w:style w:type="character" w:customStyle="1" w:styleId="af">
    <w:name w:val="Текст сноски Знак"/>
    <w:basedOn w:val="a0"/>
    <w:link w:val="ae"/>
    <w:uiPriority w:val="99"/>
    <w:rsid w:val="00106D72"/>
    <w:rPr>
      <w:rFonts w:eastAsiaTheme="minorEastAsia"/>
      <w:sz w:val="20"/>
      <w:szCs w:val="20"/>
      <w:lang w:val="en-US" w:bidi="en-US"/>
    </w:rPr>
  </w:style>
  <w:style w:type="character" w:styleId="af0">
    <w:name w:val="footnote reference"/>
    <w:basedOn w:val="a0"/>
    <w:uiPriority w:val="99"/>
    <w:unhideWhenUsed/>
    <w:rsid w:val="00106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E3AB-3711-42EF-824A-D042197C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Шепелева Елена</cp:lastModifiedBy>
  <cp:revision>2</cp:revision>
  <cp:lastPrinted>2014-12-26T09:59:00Z</cp:lastPrinted>
  <dcterms:created xsi:type="dcterms:W3CDTF">2020-01-20T11:06:00Z</dcterms:created>
  <dcterms:modified xsi:type="dcterms:W3CDTF">2020-01-20T11:06:00Z</dcterms:modified>
</cp:coreProperties>
</file>