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E" w:rsidRPr="00CD59FE" w:rsidRDefault="00CD59FE" w:rsidP="00CD59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9FE">
        <w:rPr>
          <w:rFonts w:ascii="Times New Roman" w:hAnsi="Times New Roman" w:cs="Times New Roman"/>
          <w:sz w:val="24"/>
          <w:szCs w:val="24"/>
        </w:rPr>
        <w:t>Жаромский В.С.</w:t>
      </w:r>
    </w:p>
    <w:p w:rsidR="009B56AE" w:rsidRPr="00E65C76" w:rsidRDefault="00DF766F" w:rsidP="00E65C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76">
        <w:rPr>
          <w:rFonts w:ascii="Times New Roman" w:hAnsi="Times New Roman" w:cs="Times New Roman"/>
          <w:b/>
          <w:sz w:val="24"/>
          <w:szCs w:val="24"/>
        </w:rPr>
        <w:t>«Оценка согласованности ответов респондентов в отношении разных профилей бедности: построение комплексной оценки бедности»</w:t>
      </w:r>
    </w:p>
    <w:p w:rsidR="00DF766F" w:rsidRDefault="00DF766F" w:rsidP="00DF76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исследования, изучающие процессы, протекающие в социальной</w:t>
      </w:r>
      <w:r w:rsidRPr="00CC6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сфере, опираются на результаты выборочных обследований, в рамках которых респонденты отвечают на вопросы, описывающие различные аспекты своего социально-демографического и экономического состояния в данный момент или о перспективах его изменения. </w:t>
      </w:r>
      <w:r w:rsidR="00377723">
        <w:rPr>
          <w:rFonts w:ascii="Times New Roman" w:hAnsi="Times New Roman" w:cs="Times New Roman"/>
          <w:sz w:val="24"/>
          <w:szCs w:val="24"/>
        </w:rPr>
        <w:t xml:space="preserve">Сложные социально-экономические явления, как правило, не могут быть описаны с помощью единичных характеристик.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777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3777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обследовани</w:t>
      </w:r>
      <w:r w:rsidR="00932B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могут пр</w:t>
      </w:r>
      <w:r w:rsidR="00932BC0">
        <w:rPr>
          <w:rFonts w:ascii="Times New Roman" w:hAnsi="Times New Roman" w:cs="Times New Roman"/>
          <w:sz w:val="24"/>
          <w:szCs w:val="24"/>
        </w:rPr>
        <w:t>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несколько вопросов, ответы на которые характеризуют разные стороны </w:t>
      </w:r>
      <w:r w:rsidR="00377723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явления, состояния или процесса. Б</w:t>
      </w:r>
      <w:r w:rsidRPr="002F500C">
        <w:rPr>
          <w:rFonts w:ascii="Times New Roman" w:hAnsi="Times New Roman" w:cs="Times New Roman"/>
          <w:sz w:val="24"/>
          <w:szCs w:val="24"/>
        </w:rPr>
        <w:t>едност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F5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именно к такому классу сложных явлений,  которому присущи черты, требующие различных методологических подходов анализа и оценивания. Известны</w:t>
      </w:r>
      <w:r w:rsidRPr="002F500C">
        <w:rPr>
          <w:rFonts w:ascii="Times New Roman" w:hAnsi="Times New Roman" w:cs="Times New Roman"/>
          <w:sz w:val="24"/>
          <w:szCs w:val="24"/>
        </w:rPr>
        <w:t xml:space="preserve">, по крайней мере, </w:t>
      </w:r>
      <w:r>
        <w:rPr>
          <w:rFonts w:ascii="Times New Roman" w:hAnsi="Times New Roman" w:cs="Times New Roman"/>
          <w:sz w:val="24"/>
          <w:szCs w:val="24"/>
        </w:rPr>
        <w:t xml:space="preserve">три аспекта бедности, получившие отражение в опросных листах выборочных обследований: экономический (уровень дохода), по степени доступности общественных благ (лишение - депривация) и психологический (индивидуальное ощущение своего уровня и качества жизни). </w:t>
      </w:r>
    </w:p>
    <w:p w:rsidR="00D010CE" w:rsidRDefault="00DF766F" w:rsidP="00DF76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профиля характеризуют определенные стороны жизни индивида или домохозяйства, однако они не равноценны с точки зрения развитости ин</w:t>
      </w:r>
      <w:r w:rsidR="00932BC0">
        <w:rPr>
          <w:rFonts w:ascii="Times New Roman" w:hAnsi="Times New Roman" w:cs="Times New Roman"/>
          <w:sz w:val="24"/>
          <w:szCs w:val="24"/>
        </w:rPr>
        <w:t>струментов для их измерения. Д</w:t>
      </w:r>
      <w:r>
        <w:rPr>
          <w:rFonts w:ascii="Times New Roman" w:hAnsi="Times New Roman" w:cs="Times New Roman"/>
          <w:sz w:val="24"/>
          <w:szCs w:val="24"/>
        </w:rPr>
        <w:t xml:space="preserve">ля экономического профиля бедности существуют достаточно объективные инструменты измерения, учитывающие источники доходов и/или уровни расходов на товары и услуги, с указанием границы, ниже которой располагаются бедные домохозяйства (абсолютная бедность). </w:t>
      </w:r>
      <w:r w:rsidR="00932B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убъективизм </w:t>
      </w:r>
      <w:r w:rsidR="00932BC0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выборе </w:t>
      </w:r>
      <w:r w:rsidR="00D010CE">
        <w:rPr>
          <w:rFonts w:ascii="Times New Roman" w:hAnsi="Times New Roman" w:cs="Times New Roman"/>
          <w:sz w:val="24"/>
          <w:szCs w:val="24"/>
        </w:rPr>
        <w:t xml:space="preserve">самой </w:t>
      </w:r>
      <w:r>
        <w:rPr>
          <w:rFonts w:ascii="Times New Roman" w:hAnsi="Times New Roman" w:cs="Times New Roman"/>
          <w:sz w:val="24"/>
          <w:szCs w:val="24"/>
        </w:rPr>
        <w:t xml:space="preserve">границы бедности, </w:t>
      </w:r>
      <w:r w:rsidR="00932B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ее назначение существенно влияет на масштаб бедности. </w:t>
      </w:r>
      <w:r w:rsidR="00CD59FE">
        <w:rPr>
          <w:rFonts w:ascii="Times New Roman" w:hAnsi="Times New Roman" w:cs="Times New Roman"/>
          <w:sz w:val="24"/>
          <w:szCs w:val="24"/>
        </w:rPr>
        <w:t>Установление г</w:t>
      </w:r>
      <w:r>
        <w:rPr>
          <w:rFonts w:ascii="Times New Roman" w:hAnsi="Times New Roman" w:cs="Times New Roman"/>
          <w:sz w:val="24"/>
          <w:szCs w:val="24"/>
        </w:rPr>
        <w:t>раниц</w:t>
      </w:r>
      <w:r w:rsidR="00CD59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абсолютной бедности </w:t>
      </w:r>
      <w:r w:rsidR="00CD59FE">
        <w:rPr>
          <w:rFonts w:ascii="Times New Roman" w:hAnsi="Times New Roman" w:cs="Times New Roman"/>
          <w:sz w:val="24"/>
          <w:szCs w:val="24"/>
        </w:rPr>
        <w:t xml:space="preserve">в России </w:t>
      </w:r>
      <w:r>
        <w:rPr>
          <w:rFonts w:ascii="Times New Roman" w:hAnsi="Times New Roman" w:cs="Times New Roman"/>
          <w:sz w:val="24"/>
          <w:szCs w:val="24"/>
        </w:rPr>
        <w:t>связано с определенной правовой процедурой</w:t>
      </w:r>
      <w:r w:rsidR="00D010CE">
        <w:rPr>
          <w:rFonts w:ascii="Times New Roman" w:hAnsi="Times New Roman" w:cs="Times New Roman"/>
          <w:sz w:val="24"/>
          <w:szCs w:val="24"/>
        </w:rPr>
        <w:t xml:space="preserve"> по оценке прожиточного минимума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0C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D010CE">
        <w:rPr>
          <w:rFonts w:ascii="Times New Roman" w:hAnsi="Times New Roman" w:cs="Times New Roman"/>
          <w:sz w:val="24"/>
          <w:szCs w:val="24"/>
        </w:rPr>
        <w:t xml:space="preserve"> сложным образом зависит от принятых нормативов потребления, индексов цен и т.д.</w:t>
      </w:r>
    </w:p>
    <w:p w:rsidR="00DF766F" w:rsidRDefault="00DF766F" w:rsidP="00DF76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9FE">
        <w:rPr>
          <w:rFonts w:ascii="Times New Roman" w:hAnsi="Times New Roman" w:cs="Times New Roman"/>
          <w:sz w:val="24"/>
          <w:szCs w:val="24"/>
        </w:rPr>
        <w:t>Полностью субъективизм</w:t>
      </w:r>
      <w:r>
        <w:rPr>
          <w:rFonts w:ascii="Times New Roman" w:hAnsi="Times New Roman" w:cs="Times New Roman"/>
          <w:sz w:val="24"/>
          <w:szCs w:val="24"/>
        </w:rPr>
        <w:t xml:space="preserve"> не снимается и в случае задания границы в долях от среднего душевого дохода или медианного дохода (относительная бедность). </w:t>
      </w:r>
      <w:r w:rsidR="00CD59FE">
        <w:rPr>
          <w:rFonts w:ascii="Times New Roman" w:hAnsi="Times New Roman" w:cs="Times New Roman"/>
          <w:sz w:val="24"/>
          <w:szCs w:val="24"/>
        </w:rPr>
        <w:t>Здесь э</w:t>
      </w:r>
      <w:r>
        <w:rPr>
          <w:rFonts w:ascii="Times New Roman" w:hAnsi="Times New Roman" w:cs="Times New Roman"/>
          <w:sz w:val="24"/>
          <w:szCs w:val="24"/>
        </w:rPr>
        <w:t xml:space="preserve">лемент произвола, </w:t>
      </w:r>
      <w:r w:rsidR="00CD59FE">
        <w:rPr>
          <w:rFonts w:ascii="Times New Roman" w:hAnsi="Times New Roman" w:cs="Times New Roman"/>
          <w:sz w:val="24"/>
          <w:szCs w:val="24"/>
        </w:rPr>
        <w:t>сохраняется</w:t>
      </w:r>
      <w:r>
        <w:rPr>
          <w:rFonts w:ascii="Times New Roman" w:hAnsi="Times New Roman" w:cs="Times New Roman"/>
          <w:sz w:val="24"/>
          <w:szCs w:val="24"/>
        </w:rPr>
        <w:t xml:space="preserve"> при выборе эталона (средний или медианный</w:t>
      </w:r>
      <w:r w:rsidRPr="001F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доход) и доли от него</w:t>
      </w:r>
      <w:r w:rsidR="00932BC0">
        <w:rPr>
          <w:rFonts w:ascii="Times New Roman" w:hAnsi="Times New Roman" w:cs="Times New Roman"/>
          <w:sz w:val="24"/>
          <w:szCs w:val="24"/>
        </w:rPr>
        <w:t xml:space="preserve">, </w:t>
      </w:r>
      <w:r w:rsidR="00D010CE">
        <w:rPr>
          <w:rFonts w:ascii="Times New Roman" w:hAnsi="Times New Roman" w:cs="Times New Roman"/>
          <w:sz w:val="24"/>
          <w:szCs w:val="24"/>
        </w:rPr>
        <w:t>однако</w:t>
      </w:r>
      <w:r w:rsidR="00932BC0" w:rsidRPr="00932BC0">
        <w:rPr>
          <w:rFonts w:ascii="Times New Roman" w:hAnsi="Times New Roman" w:cs="Times New Roman"/>
          <w:sz w:val="24"/>
          <w:szCs w:val="24"/>
        </w:rPr>
        <w:t xml:space="preserve"> </w:t>
      </w:r>
      <w:r w:rsidR="00932BC0">
        <w:rPr>
          <w:rFonts w:ascii="Times New Roman" w:hAnsi="Times New Roman" w:cs="Times New Roman"/>
          <w:sz w:val="24"/>
          <w:szCs w:val="24"/>
        </w:rPr>
        <w:t xml:space="preserve">при этом не требуется официальное </w:t>
      </w:r>
      <w:r w:rsidR="00D010CE">
        <w:rPr>
          <w:rFonts w:ascii="Times New Roman" w:hAnsi="Times New Roman" w:cs="Times New Roman"/>
          <w:sz w:val="24"/>
          <w:szCs w:val="24"/>
        </w:rPr>
        <w:t>раз</w:t>
      </w:r>
      <w:r w:rsidR="00932BC0">
        <w:rPr>
          <w:rFonts w:ascii="Times New Roman" w:hAnsi="Times New Roman" w:cs="Times New Roman"/>
          <w:sz w:val="24"/>
          <w:szCs w:val="24"/>
        </w:rPr>
        <w:t>решение для фиксации</w:t>
      </w:r>
      <w:r w:rsidR="00CD59FE">
        <w:rPr>
          <w:rFonts w:ascii="Times New Roman" w:hAnsi="Times New Roman" w:cs="Times New Roman"/>
          <w:sz w:val="24"/>
          <w:szCs w:val="24"/>
        </w:rPr>
        <w:t xml:space="preserve"> значения границы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10CE">
        <w:rPr>
          <w:rFonts w:ascii="Times New Roman" w:hAnsi="Times New Roman" w:cs="Times New Roman"/>
          <w:sz w:val="24"/>
          <w:szCs w:val="24"/>
        </w:rPr>
        <w:t>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проще проводить сравнительный анализ бедности для разных стран и регионов</w:t>
      </w:r>
      <w:r w:rsidR="00CD59FE">
        <w:rPr>
          <w:rFonts w:ascii="Times New Roman" w:hAnsi="Times New Roman" w:cs="Times New Roman"/>
          <w:sz w:val="24"/>
          <w:szCs w:val="24"/>
        </w:rPr>
        <w:t>. Относительная бедность</w:t>
      </w:r>
      <w:r>
        <w:rPr>
          <w:rFonts w:ascii="Times New Roman" w:hAnsi="Times New Roman" w:cs="Times New Roman"/>
          <w:sz w:val="24"/>
          <w:szCs w:val="24"/>
        </w:rPr>
        <w:t xml:space="preserve"> в меньшей степени зависит от уровня инфляции в стране</w:t>
      </w:r>
      <w:r w:rsidR="00D010CE">
        <w:rPr>
          <w:rFonts w:ascii="Times New Roman" w:hAnsi="Times New Roman" w:cs="Times New Roman"/>
          <w:sz w:val="24"/>
          <w:szCs w:val="24"/>
        </w:rPr>
        <w:t>, если одновременно с ростом цен растут и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BC0" w:rsidRDefault="00932BC0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Бедность по лишениям </w:t>
      </w:r>
      <w:r w:rsidR="00A05913">
        <w:rPr>
          <w:rFonts w:ascii="Times New Roman" w:hAnsi="Times New Roman" w:cs="Times New Roman"/>
          <w:sz w:val="24"/>
          <w:szCs w:val="24"/>
        </w:rPr>
        <w:t>более сложный объект для анализа и измерения. Она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измерена, если указать список </w:t>
      </w:r>
      <w:r w:rsidR="00A05913">
        <w:rPr>
          <w:rFonts w:ascii="Times New Roman" w:hAnsi="Times New Roman" w:cs="Times New Roman"/>
          <w:sz w:val="24"/>
          <w:szCs w:val="24"/>
        </w:rPr>
        <w:t xml:space="preserve">насущных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благ, которыми домохозяйство может или не может пользоваться. В научный оборот понятие бедности по лишению (депривация) ввел английский социолог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="00A0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П., определивший экспертным путем потребности, доступ к которым должен быть у граждан, а отсутствие доступа определяется как лишение. Фактически этот подход базировался на оценке ресурсов, необходимых для реализации насущных потребностей. </w:t>
      </w:r>
      <w:r w:rsidR="008747A8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исследователи справедливо указывали, на отсутствие универсального списка потребностей в том смысле, что даже значительные группы населения могут не иметь нужды в реализации ряда потребностей. Для России с ее территориально-экономическим разнообразием условий проживания населения проблема </w:t>
      </w:r>
      <w:r w:rsidR="008747A8">
        <w:rPr>
          <w:rFonts w:ascii="Times New Roman" w:hAnsi="Times New Roman" w:cs="Times New Roman"/>
          <w:sz w:val="24"/>
          <w:szCs w:val="24"/>
        </w:rPr>
        <w:t xml:space="preserve">выбора потребностей и </w:t>
      </w:r>
      <w:r>
        <w:rPr>
          <w:rFonts w:ascii="Times New Roman" w:hAnsi="Times New Roman" w:cs="Times New Roman"/>
          <w:sz w:val="24"/>
          <w:szCs w:val="24"/>
        </w:rPr>
        <w:t>правильной агрегации оценок является очень важной.</w:t>
      </w:r>
    </w:p>
    <w:p w:rsidR="00932BC0" w:rsidRDefault="00932BC0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более труден для инструментальной оценки третий профиль (субъективный), оценивающий уровень внутреннего переживания респондента, для которого нет других  показателей, кроме ответа самого респондента. Этот подход начал разрабатываться еще в 70-е годы прошлого столетия голландски</w:t>
      </w:r>
      <w:r w:rsidR="008747A8">
        <w:rPr>
          <w:rFonts w:ascii="Times New Roman" w:hAnsi="Times New Roman" w:cs="Times New Roman"/>
          <w:sz w:val="24"/>
          <w:szCs w:val="24"/>
        </w:rPr>
        <w:t xml:space="preserve">ми статистиками и экономистами. </w:t>
      </w:r>
      <w:r>
        <w:rPr>
          <w:rFonts w:ascii="Times New Roman" w:hAnsi="Times New Roman" w:cs="Times New Roman"/>
          <w:sz w:val="24"/>
          <w:szCs w:val="24"/>
        </w:rPr>
        <w:t xml:space="preserve">При этом предполагалось, что на основе выборочного обследования всего населения можно будет определить размер дохода, позволяющего, по мнению населения, жить скромно, но не бедно. Именно в этом пункте состоит главное отличие от оценки бедности по лишению. Если в первом случае респондент указывает на потребности, которые он не может реализовать, то субъективная оценка бедности определяется кругом потребностей, доступ к которым </w:t>
      </w:r>
      <w:r w:rsidR="00A42ABA">
        <w:rPr>
          <w:rFonts w:ascii="Times New Roman" w:hAnsi="Times New Roman" w:cs="Times New Roman"/>
          <w:sz w:val="24"/>
          <w:szCs w:val="24"/>
        </w:rPr>
        <w:t xml:space="preserve">респондент </w:t>
      </w:r>
      <w:r>
        <w:rPr>
          <w:rFonts w:ascii="Times New Roman" w:hAnsi="Times New Roman" w:cs="Times New Roman"/>
          <w:sz w:val="24"/>
          <w:szCs w:val="24"/>
        </w:rPr>
        <w:t xml:space="preserve">считает желательным (нормальным). </w:t>
      </w:r>
      <w:r w:rsidR="00A42ABA">
        <w:rPr>
          <w:rFonts w:ascii="Times New Roman" w:hAnsi="Times New Roman" w:cs="Times New Roman"/>
          <w:sz w:val="24"/>
          <w:szCs w:val="24"/>
        </w:rPr>
        <w:t xml:space="preserve">Этот список может быть шире, а индивидуальные приоритеты </w:t>
      </w:r>
      <w:r w:rsidR="001B1773">
        <w:rPr>
          <w:rFonts w:ascii="Times New Roman" w:hAnsi="Times New Roman" w:cs="Times New Roman"/>
          <w:sz w:val="24"/>
          <w:szCs w:val="24"/>
        </w:rPr>
        <w:t xml:space="preserve">доступности благ </w:t>
      </w:r>
      <w:r w:rsidR="00A42ABA">
        <w:rPr>
          <w:rFonts w:ascii="Times New Roman" w:hAnsi="Times New Roman" w:cs="Times New Roman"/>
          <w:sz w:val="24"/>
          <w:szCs w:val="24"/>
        </w:rPr>
        <w:t xml:space="preserve">могут заметно отличаться </w:t>
      </w:r>
      <w:proofErr w:type="gramStart"/>
      <w:r w:rsidR="00A42A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2ABA">
        <w:rPr>
          <w:rFonts w:ascii="Times New Roman" w:hAnsi="Times New Roman" w:cs="Times New Roman"/>
          <w:sz w:val="24"/>
          <w:szCs w:val="24"/>
        </w:rPr>
        <w:t xml:space="preserve"> стандартных. </w:t>
      </w:r>
      <w:r>
        <w:rPr>
          <w:rFonts w:ascii="Times New Roman" w:hAnsi="Times New Roman" w:cs="Times New Roman"/>
          <w:sz w:val="24"/>
          <w:szCs w:val="24"/>
        </w:rPr>
        <w:t xml:space="preserve">Именно по этой причине бедность по </w:t>
      </w:r>
      <w:r w:rsidR="001B1773">
        <w:rPr>
          <w:rFonts w:ascii="Times New Roman" w:hAnsi="Times New Roman" w:cs="Times New Roman"/>
          <w:sz w:val="24"/>
          <w:szCs w:val="24"/>
        </w:rPr>
        <w:t>ощущению,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F49">
        <w:rPr>
          <w:rFonts w:ascii="Times New Roman" w:hAnsi="Times New Roman" w:cs="Times New Roman"/>
          <w:sz w:val="24"/>
          <w:szCs w:val="24"/>
        </w:rPr>
        <w:t xml:space="preserve">как </w:t>
      </w:r>
      <w:r w:rsidR="001B1773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выше, чем по другим профилям.</w:t>
      </w:r>
    </w:p>
    <w:p w:rsidR="00932BC0" w:rsidRDefault="00932BC0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сути все три аспекта бедности характеризуют степень влияния на индивида (домохозяйство) распределительных отношений, характерных для настоящего общества, но с учетом его индивидуальных характеристик и особенностей проживания. По этой причине ответы респондентов, имеющих более или менее одинаковые социально-экономические и демографические характеристики, могут заметно различаться. </w:t>
      </w:r>
      <w:r w:rsidR="00A42ABA">
        <w:rPr>
          <w:rFonts w:ascii="Times New Roman" w:hAnsi="Times New Roman" w:cs="Times New Roman"/>
          <w:sz w:val="24"/>
          <w:szCs w:val="24"/>
        </w:rPr>
        <w:t>И э</w:t>
      </w:r>
      <w:r>
        <w:rPr>
          <w:rFonts w:ascii="Times New Roman" w:hAnsi="Times New Roman" w:cs="Times New Roman"/>
          <w:sz w:val="24"/>
          <w:szCs w:val="24"/>
        </w:rPr>
        <w:t xml:space="preserve">то нормально, так как формальные характеристики домохозяйства не исчерпывают всех причин, влияющих на окончательный ответ. </w:t>
      </w:r>
      <w:r w:rsidR="001B1773">
        <w:rPr>
          <w:rFonts w:ascii="Times New Roman" w:hAnsi="Times New Roman" w:cs="Times New Roman"/>
          <w:sz w:val="24"/>
          <w:szCs w:val="24"/>
        </w:rPr>
        <w:t>Е</w:t>
      </w:r>
      <w:r w:rsidR="00A42ABA">
        <w:rPr>
          <w:rFonts w:ascii="Times New Roman" w:hAnsi="Times New Roman" w:cs="Times New Roman"/>
          <w:sz w:val="24"/>
          <w:szCs w:val="24"/>
        </w:rPr>
        <w:t>стественно в</w:t>
      </w:r>
      <w:r>
        <w:rPr>
          <w:rFonts w:ascii="Times New Roman" w:hAnsi="Times New Roman" w:cs="Times New Roman"/>
          <w:sz w:val="24"/>
          <w:szCs w:val="24"/>
        </w:rPr>
        <w:t xml:space="preserve">озникает вопрос: </w:t>
      </w:r>
      <w:r w:rsidR="00A42ABA">
        <w:rPr>
          <w:rFonts w:ascii="Times New Roman" w:hAnsi="Times New Roman" w:cs="Times New Roman"/>
          <w:sz w:val="24"/>
          <w:szCs w:val="24"/>
        </w:rPr>
        <w:t xml:space="preserve">Можно ли считать </w:t>
      </w:r>
      <w:r w:rsidR="001B1773">
        <w:rPr>
          <w:rFonts w:ascii="Times New Roman" w:hAnsi="Times New Roman" w:cs="Times New Roman"/>
          <w:sz w:val="24"/>
          <w:szCs w:val="24"/>
        </w:rPr>
        <w:t xml:space="preserve">три </w:t>
      </w:r>
      <w:r w:rsidR="00A42ABA">
        <w:rPr>
          <w:rFonts w:ascii="Times New Roman" w:hAnsi="Times New Roman" w:cs="Times New Roman"/>
          <w:sz w:val="24"/>
          <w:szCs w:val="24"/>
        </w:rPr>
        <w:t>ответ</w:t>
      </w:r>
      <w:r w:rsidR="001B1773">
        <w:rPr>
          <w:rFonts w:ascii="Times New Roman" w:hAnsi="Times New Roman" w:cs="Times New Roman"/>
          <w:sz w:val="24"/>
          <w:szCs w:val="24"/>
        </w:rPr>
        <w:t>а</w:t>
      </w:r>
      <w:r w:rsidR="00A42ABA">
        <w:rPr>
          <w:rFonts w:ascii="Times New Roman" w:hAnsi="Times New Roman" w:cs="Times New Roman"/>
          <w:sz w:val="24"/>
          <w:szCs w:val="24"/>
        </w:rPr>
        <w:t xml:space="preserve"> респондентов согласованными? А если они согласованны, то </w:t>
      </w:r>
      <w:r w:rsidR="00491B1A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A42ABA">
        <w:rPr>
          <w:rFonts w:ascii="Times New Roman" w:hAnsi="Times New Roman" w:cs="Times New Roman"/>
          <w:sz w:val="24"/>
          <w:szCs w:val="24"/>
        </w:rPr>
        <w:t xml:space="preserve">ли </w:t>
      </w:r>
      <w:r w:rsidR="00491B1A">
        <w:rPr>
          <w:rFonts w:ascii="Times New Roman" w:hAnsi="Times New Roman" w:cs="Times New Roman"/>
          <w:sz w:val="24"/>
          <w:szCs w:val="24"/>
        </w:rPr>
        <w:t>п</w:t>
      </w:r>
      <w:r w:rsidR="00A42ABA">
        <w:rPr>
          <w:rFonts w:ascii="Times New Roman" w:hAnsi="Times New Roman" w:cs="Times New Roman"/>
          <w:sz w:val="24"/>
          <w:szCs w:val="24"/>
        </w:rPr>
        <w:t>о</w:t>
      </w:r>
      <w:r w:rsidR="00491B1A">
        <w:rPr>
          <w:rFonts w:ascii="Times New Roman" w:hAnsi="Times New Roman" w:cs="Times New Roman"/>
          <w:sz w:val="24"/>
          <w:szCs w:val="24"/>
        </w:rPr>
        <w:t>строить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комбинированную оценку </w:t>
      </w:r>
      <w:r w:rsidR="00A42ABA">
        <w:rPr>
          <w:rFonts w:ascii="Times New Roman" w:hAnsi="Times New Roman" w:cs="Times New Roman"/>
          <w:sz w:val="24"/>
          <w:szCs w:val="24"/>
        </w:rPr>
        <w:t xml:space="preserve">латентной </w:t>
      </w:r>
      <w:r>
        <w:rPr>
          <w:rFonts w:ascii="Times New Roman" w:hAnsi="Times New Roman" w:cs="Times New Roman"/>
          <w:sz w:val="24"/>
          <w:szCs w:val="24"/>
        </w:rPr>
        <w:t xml:space="preserve">бедности, которая </w:t>
      </w:r>
      <w:r w:rsidR="00CE26B6">
        <w:rPr>
          <w:rFonts w:ascii="Times New Roman" w:hAnsi="Times New Roman" w:cs="Times New Roman"/>
          <w:sz w:val="24"/>
          <w:szCs w:val="24"/>
        </w:rPr>
        <w:t>была бы 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оценк</w:t>
      </w:r>
      <w:r w:rsidR="00CE26B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E6">
        <w:rPr>
          <w:rFonts w:ascii="Times New Roman" w:hAnsi="Times New Roman" w:cs="Times New Roman"/>
          <w:sz w:val="24"/>
          <w:szCs w:val="24"/>
        </w:rPr>
        <w:t>всех трех</w:t>
      </w:r>
      <w:r>
        <w:rPr>
          <w:rFonts w:ascii="Times New Roman" w:hAnsi="Times New Roman" w:cs="Times New Roman"/>
          <w:sz w:val="24"/>
          <w:szCs w:val="24"/>
        </w:rPr>
        <w:t xml:space="preserve"> профилей бедности? </w:t>
      </w:r>
      <w:r w:rsidR="00CE26B6">
        <w:rPr>
          <w:rFonts w:ascii="Times New Roman" w:hAnsi="Times New Roman" w:cs="Times New Roman"/>
          <w:sz w:val="24"/>
          <w:szCs w:val="24"/>
        </w:rPr>
        <w:t>Конечно, можно рассматривать все три оценки одновременно и по ним проводить сравнение для разных респондентов.</w:t>
      </w:r>
      <w:r w:rsidR="0061653B">
        <w:rPr>
          <w:rFonts w:ascii="Times New Roman" w:hAnsi="Times New Roman" w:cs="Times New Roman"/>
          <w:sz w:val="24"/>
          <w:szCs w:val="24"/>
        </w:rPr>
        <w:t xml:space="preserve"> Однако в этом случае возникает много спорных вопросов при оценке степени бедности для многих пар домохозяйств.</w:t>
      </w:r>
    </w:p>
    <w:p w:rsidR="00932BC0" w:rsidRDefault="00CE26B6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сути, вопрос о согласованности оценок предполагает существование чего-то общего (абстрактной бедности), которое особым образом преломляется в оценках бедности разного профиля. </w:t>
      </w:r>
      <w:r w:rsidR="00677D6D">
        <w:rPr>
          <w:rFonts w:ascii="Times New Roman" w:hAnsi="Times New Roman" w:cs="Times New Roman"/>
          <w:sz w:val="24"/>
          <w:szCs w:val="24"/>
        </w:rPr>
        <w:t>При построении комплексных оценок ч</w:t>
      </w:r>
      <w:r w:rsidR="00932BC0">
        <w:rPr>
          <w:rFonts w:ascii="Times New Roman" w:hAnsi="Times New Roman" w:cs="Times New Roman"/>
          <w:sz w:val="24"/>
          <w:szCs w:val="24"/>
        </w:rPr>
        <w:t xml:space="preserve">асто </w:t>
      </w:r>
      <w:r w:rsidR="0061653B">
        <w:rPr>
          <w:rFonts w:ascii="Times New Roman" w:hAnsi="Times New Roman" w:cs="Times New Roman"/>
          <w:sz w:val="24"/>
          <w:szCs w:val="24"/>
        </w:rPr>
        <w:t xml:space="preserve">вопрос о согласованности оценок даже не ставится. Просто </w:t>
      </w:r>
      <w:r w:rsidR="00932BC0">
        <w:rPr>
          <w:rFonts w:ascii="Times New Roman" w:hAnsi="Times New Roman" w:cs="Times New Roman"/>
          <w:sz w:val="24"/>
          <w:szCs w:val="24"/>
        </w:rPr>
        <w:t xml:space="preserve">для всех профилей </w:t>
      </w:r>
      <w:r w:rsidR="0061653B">
        <w:rPr>
          <w:rFonts w:ascii="Times New Roman" w:hAnsi="Times New Roman" w:cs="Times New Roman"/>
          <w:sz w:val="24"/>
          <w:szCs w:val="24"/>
        </w:rPr>
        <w:t xml:space="preserve">бедности </w:t>
      </w:r>
      <w:r w:rsidR="00932BC0">
        <w:rPr>
          <w:rFonts w:ascii="Times New Roman" w:hAnsi="Times New Roman" w:cs="Times New Roman"/>
          <w:sz w:val="24"/>
          <w:szCs w:val="24"/>
        </w:rPr>
        <w:t>строятся специальные индикаторы, которые просто суммируются или суммируются с весами. В результате получается производный индикатор, принимаемый в качестве комплексного показателя</w:t>
      </w:r>
      <w:r w:rsidR="0061653B">
        <w:rPr>
          <w:rFonts w:ascii="Times New Roman" w:hAnsi="Times New Roman" w:cs="Times New Roman"/>
          <w:sz w:val="24"/>
          <w:szCs w:val="24"/>
        </w:rPr>
        <w:t xml:space="preserve"> бедности</w:t>
      </w:r>
      <w:r w:rsidR="00932BC0">
        <w:rPr>
          <w:rFonts w:ascii="Times New Roman" w:hAnsi="Times New Roman" w:cs="Times New Roman"/>
          <w:sz w:val="24"/>
          <w:szCs w:val="24"/>
        </w:rPr>
        <w:t xml:space="preserve">. </w:t>
      </w:r>
      <w:r w:rsidR="00F85CE6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61653B">
        <w:rPr>
          <w:rFonts w:ascii="Times New Roman" w:hAnsi="Times New Roman" w:cs="Times New Roman"/>
          <w:sz w:val="24"/>
          <w:szCs w:val="24"/>
        </w:rPr>
        <w:t>метод</w:t>
      </w:r>
      <w:r w:rsidR="00F85CE6">
        <w:rPr>
          <w:rFonts w:ascii="Times New Roman" w:hAnsi="Times New Roman" w:cs="Times New Roman"/>
          <w:sz w:val="24"/>
          <w:szCs w:val="24"/>
        </w:rPr>
        <w:t xml:space="preserve"> базируется на</w:t>
      </w:r>
      <w:r w:rsidR="00932BC0">
        <w:rPr>
          <w:rFonts w:ascii="Times New Roman" w:hAnsi="Times New Roman" w:cs="Times New Roman"/>
          <w:sz w:val="24"/>
          <w:szCs w:val="24"/>
        </w:rPr>
        <w:t xml:space="preserve"> коррекции </w:t>
      </w:r>
      <w:r w:rsidR="00F85CE6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932BC0">
        <w:rPr>
          <w:rFonts w:ascii="Times New Roman" w:hAnsi="Times New Roman" w:cs="Times New Roman"/>
          <w:sz w:val="24"/>
          <w:szCs w:val="24"/>
        </w:rPr>
        <w:t xml:space="preserve">одного показателя </w:t>
      </w:r>
      <w:r w:rsidR="003A53A2">
        <w:rPr>
          <w:rFonts w:ascii="Times New Roman" w:hAnsi="Times New Roman" w:cs="Times New Roman"/>
          <w:sz w:val="24"/>
          <w:szCs w:val="24"/>
        </w:rPr>
        <w:t>с привлечением информации о</w:t>
      </w:r>
      <w:r w:rsidR="00932BC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3A53A2">
        <w:rPr>
          <w:rFonts w:ascii="Times New Roman" w:hAnsi="Times New Roman" w:cs="Times New Roman"/>
          <w:sz w:val="24"/>
          <w:szCs w:val="24"/>
        </w:rPr>
        <w:t>х</w:t>
      </w:r>
      <w:r w:rsidR="00932BC0">
        <w:rPr>
          <w:rFonts w:ascii="Times New Roman" w:hAnsi="Times New Roman" w:cs="Times New Roman"/>
          <w:sz w:val="24"/>
          <w:szCs w:val="24"/>
        </w:rPr>
        <w:t xml:space="preserve"> другого показателя. </w:t>
      </w:r>
      <w:r w:rsidR="0061653B">
        <w:rPr>
          <w:rFonts w:ascii="Times New Roman" w:hAnsi="Times New Roman" w:cs="Times New Roman"/>
          <w:sz w:val="24"/>
          <w:szCs w:val="24"/>
        </w:rPr>
        <w:t xml:space="preserve">В этом случае предполагается, что оба профиля связаны между собой. </w:t>
      </w:r>
      <w:r w:rsidR="00932BC0">
        <w:rPr>
          <w:rFonts w:ascii="Times New Roman" w:hAnsi="Times New Roman" w:cs="Times New Roman"/>
          <w:sz w:val="24"/>
          <w:szCs w:val="24"/>
        </w:rPr>
        <w:t xml:space="preserve">Так из факта, что не все бедные по доходу считают себя бедными по лишению, предлагается исключить такие домохозяйства из числа </w:t>
      </w:r>
      <w:r w:rsidR="0061653B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932BC0">
        <w:rPr>
          <w:rFonts w:ascii="Times New Roman" w:hAnsi="Times New Roman" w:cs="Times New Roman"/>
          <w:sz w:val="24"/>
          <w:szCs w:val="24"/>
        </w:rPr>
        <w:t xml:space="preserve">бедных. Можно задать и более жесткое условие – считать бедными только тех, у кого не менее двух лишений! </w:t>
      </w:r>
      <w:r w:rsidR="009C75B6">
        <w:rPr>
          <w:rFonts w:ascii="Times New Roman" w:hAnsi="Times New Roman" w:cs="Times New Roman"/>
          <w:sz w:val="24"/>
          <w:szCs w:val="24"/>
        </w:rPr>
        <w:t xml:space="preserve">С другой стороны, можно считать ошибочными утверждения о бедности по ощущению, если по двум другим профилям респондент не считается бедным. </w:t>
      </w:r>
    </w:p>
    <w:p w:rsidR="004946C1" w:rsidRDefault="00491B1A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</w:t>
      </w:r>
      <w:r w:rsidR="00932BC0">
        <w:rPr>
          <w:rFonts w:ascii="Times New Roman" w:hAnsi="Times New Roman" w:cs="Times New Roman"/>
          <w:sz w:val="24"/>
          <w:szCs w:val="24"/>
        </w:rPr>
        <w:t xml:space="preserve">, что </w:t>
      </w:r>
      <w:r w:rsidR="009C75B6">
        <w:rPr>
          <w:rFonts w:ascii="Times New Roman" w:hAnsi="Times New Roman" w:cs="Times New Roman"/>
          <w:sz w:val="24"/>
          <w:szCs w:val="24"/>
        </w:rPr>
        <w:t>наличие многих частных конструкций оценок бедности связаны с отсутствием общего решения п</w:t>
      </w:r>
      <w:r w:rsidR="00932BC0">
        <w:rPr>
          <w:rFonts w:ascii="Times New Roman" w:hAnsi="Times New Roman" w:cs="Times New Roman"/>
          <w:sz w:val="24"/>
          <w:szCs w:val="24"/>
        </w:rPr>
        <w:t>роблем</w:t>
      </w:r>
      <w:r w:rsidR="009C75B6">
        <w:rPr>
          <w:rFonts w:ascii="Times New Roman" w:hAnsi="Times New Roman" w:cs="Times New Roman"/>
          <w:sz w:val="24"/>
          <w:szCs w:val="24"/>
        </w:rPr>
        <w:t>ы</w:t>
      </w:r>
      <w:r w:rsidR="00932BC0">
        <w:rPr>
          <w:rFonts w:ascii="Times New Roman" w:hAnsi="Times New Roman" w:cs="Times New Roman"/>
          <w:sz w:val="24"/>
          <w:szCs w:val="24"/>
        </w:rPr>
        <w:t xml:space="preserve"> согласованности оценок. Согласованность здесь понимается в том смысле, что все измеряемые проявления бедности относятся действительно к одному явлению. </w:t>
      </w:r>
      <w:r w:rsidR="00AC4280">
        <w:rPr>
          <w:rFonts w:ascii="Times New Roman" w:hAnsi="Times New Roman" w:cs="Times New Roman"/>
          <w:sz w:val="24"/>
          <w:szCs w:val="24"/>
        </w:rPr>
        <w:t>Учитывая, что все оценки носят вероятностный характер естественно согласованность оценивать средствами статистики. Предполагая, что</w:t>
      </w:r>
      <w:r w:rsidR="00932BC0">
        <w:rPr>
          <w:rFonts w:ascii="Times New Roman" w:hAnsi="Times New Roman" w:cs="Times New Roman"/>
          <w:sz w:val="24"/>
          <w:szCs w:val="24"/>
        </w:rPr>
        <w:t>,  существует некоторая латентная переменная («обобщенная бедность»), которая статистически проявляется в оценках всех трех профилей бедности</w:t>
      </w:r>
      <w:r w:rsidR="004946C1">
        <w:rPr>
          <w:rFonts w:ascii="Times New Roman" w:hAnsi="Times New Roman" w:cs="Times New Roman"/>
          <w:sz w:val="24"/>
          <w:szCs w:val="24"/>
        </w:rPr>
        <w:t>.</w:t>
      </w:r>
      <w:r w:rsidR="00932B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C87" w:rsidRDefault="00491B1A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4280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докладе делается попытка на основе </w:t>
      </w:r>
      <w:r w:rsidR="00AC4280">
        <w:rPr>
          <w:rFonts w:ascii="Times New Roman" w:hAnsi="Times New Roman" w:cs="Times New Roman"/>
          <w:sz w:val="24"/>
          <w:szCs w:val="24"/>
        </w:rPr>
        <w:t>метода</w:t>
      </w:r>
      <w:r>
        <w:rPr>
          <w:rFonts w:ascii="Times New Roman" w:hAnsi="Times New Roman" w:cs="Times New Roman"/>
          <w:sz w:val="24"/>
          <w:szCs w:val="24"/>
        </w:rPr>
        <w:t xml:space="preserve"> латентно-структурного анализа для дискретных классов</w:t>
      </w:r>
      <w:r w:rsidR="00BA1C87">
        <w:rPr>
          <w:rFonts w:ascii="Times New Roman" w:hAnsi="Times New Roman" w:cs="Times New Roman"/>
          <w:sz w:val="24"/>
          <w:szCs w:val="24"/>
        </w:rPr>
        <w:t xml:space="preserve"> </w:t>
      </w:r>
      <w:r w:rsidR="00BA1C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A1C87">
        <w:rPr>
          <w:rFonts w:ascii="Times New Roman" w:hAnsi="Times New Roman" w:cs="Times New Roman"/>
          <w:sz w:val="24"/>
          <w:szCs w:val="24"/>
        </w:rPr>
        <w:t>1</w:t>
      </w:r>
      <w:r w:rsidR="00BA1C87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280">
        <w:rPr>
          <w:rFonts w:ascii="Times New Roman" w:hAnsi="Times New Roman" w:cs="Times New Roman"/>
          <w:sz w:val="24"/>
          <w:szCs w:val="24"/>
        </w:rPr>
        <w:t>показать возможность в рамках одной модели,  на</w:t>
      </w:r>
      <w:r>
        <w:rPr>
          <w:rFonts w:ascii="Times New Roman" w:hAnsi="Times New Roman" w:cs="Times New Roman"/>
          <w:sz w:val="24"/>
          <w:szCs w:val="24"/>
        </w:rPr>
        <w:t xml:space="preserve"> выборочных данных </w:t>
      </w:r>
      <w:r w:rsidR="00AC4280">
        <w:rPr>
          <w:rFonts w:ascii="Times New Roman" w:hAnsi="Times New Roman" w:cs="Times New Roman"/>
          <w:sz w:val="24"/>
          <w:szCs w:val="24"/>
        </w:rPr>
        <w:t>обследовани</w:t>
      </w:r>
      <w:r w:rsidR="004946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РиДМиЖ</w:t>
      </w:r>
      <w:proofErr w:type="spellEnd"/>
      <w:r w:rsidR="004946C1">
        <w:rPr>
          <w:rFonts w:ascii="Times New Roman" w:hAnsi="Times New Roman" w:cs="Times New Roman"/>
          <w:sz w:val="24"/>
          <w:szCs w:val="24"/>
        </w:rPr>
        <w:t xml:space="preserve"> </w:t>
      </w:r>
      <w:r w:rsidR="004946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46C1">
        <w:rPr>
          <w:rFonts w:ascii="Times New Roman" w:hAnsi="Times New Roman" w:cs="Times New Roman"/>
          <w:sz w:val="24"/>
          <w:szCs w:val="24"/>
        </w:rPr>
        <w:t>Родители и дети, мужчины и женщины, 2011г.</w:t>
      </w:r>
      <w:r w:rsidR="003732C5">
        <w:rPr>
          <w:rFonts w:ascii="Times New Roman" w:hAnsi="Times New Roman" w:cs="Times New Roman"/>
          <w:sz w:val="24"/>
          <w:szCs w:val="24"/>
        </w:rPr>
        <w:t>)</w:t>
      </w:r>
      <w:r w:rsidR="00AC4280">
        <w:rPr>
          <w:rFonts w:ascii="Times New Roman" w:hAnsi="Times New Roman" w:cs="Times New Roman"/>
          <w:sz w:val="24"/>
          <w:szCs w:val="24"/>
        </w:rPr>
        <w:t>,</w:t>
      </w:r>
      <w:r w:rsidR="00E91FED">
        <w:rPr>
          <w:rFonts w:ascii="Times New Roman" w:hAnsi="Times New Roman" w:cs="Times New Roman"/>
          <w:sz w:val="24"/>
          <w:szCs w:val="24"/>
        </w:rPr>
        <w:t xml:space="preserve"> определить степень </w:t>
      </w:r>
      <w:r w:rsidR="00797F68">
        <w:rPr>
          <w:rFonts w:ascii="Times New Roman" w:hAnsi="Times New Roman" w:cs="Times New Roman"/>
          <w:sz w:val="24"/>
          <w:szCs w:val="24"/>
        </w:rPr>
        <w:t>согласованност</w:t>
      </w:r>
      <w:r w:rsidR="00E91FED">
        <w:rPr>
          <w:rFonts w:ascii="Times New Roman" w:hAnsi="Times New Roman" w:cs="Times New Roman"/>
          <w:sz w:val="24"/>
          <w:szCs w:val="24"/>
        </w:rPr>
        <w:t>и</w:t>
      </w:r>
      <w:r w:rsidR="00797F68">
        <w:rPr>
          <w:rFonts w:ascii="Times New Roman" w:hAnsi="Times New Roman" w:cs="Times New Roman"/>
          <w:sz w:val="24"/>
          <w:szCs w:val="24"/>
        </w:rPr>
        <w:t xml:space="preserve"> оценок и о</w:t>
      </w:r>
      <w:r w:rsidR="00E91FED">
        <w:rPr>
          <w:rFonts w:ascii="Times New Roman" w:hAnsi="Times New Roman" w:cs="Times New Roman"/>
          <w:sz w:val="24"/>
          <w:szCs w:val="24"/>
        </w:rPr>
        <w:t>дновременно рассчитать</w:t>
      </w:r>
      <w:r w:rsidR="00797F68">
        <w:rPr>
          <w:rFonts w:ascii="Times New Roman" w:hAnsi="Times New Roman" w:cs="Times New Roman"/>
          <w:sz w:val="24"/>
          <w:szCs w:val="24"/>
        </w:rPr>
        <w:t xml:space="preserve"> вероятности латентной бедности для разных социально-демографических групп населения. </w:t>
      </w:r>
    </w:p>
    <w:p w:rsidR="00932BC0" w:rsidRDefault="003732C5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аналитическом докладе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A1C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посвященном анализу динамики </w:t>
      </w:r>
      <w:r w:rsidR="00BA1C87">
        <w:rPr>
          <w:rFonts w:ascii="Times New Roman" w:hAnsi="Times New Roman" w:cs="Times New Roman"/>
          <w:sz w:val="24"/>
          <w:szCs w:val="24"/>
        </w:rPr>
        <w:t xml:space="preserve">монетарных и немонетарных характеристик уровня жизни российских домохозяйств, приведены оценки </w:t>
      </w:r>
      <w:r w:rsidR="00BA1C87">
        <w:rPr>
          <w:rFonts w:ascii="Times New Roman" w:hAnsi="Times New Roman" w:cs="Times New Roman"/>
          <w:sz w:val="24"/>
          <w:szCs w:val="24"/>
        </w:rPr>
        <w:lastRenderedPageBreak/>
        <w:t>бедности по всем трем профилям</w:t>
      </w:r>
      <w:r w:rsidR="004946C1">
        <w:rPr>
          <w:rFonts w:ascii="Times New Roman" w:hAnsi="Times New Roman" w:cs="Times New Roman"/>
          <w:sz w:val="24"/>
          <w:szCs w:val="24"/>
        </w:rPr>
        <w:t xml:space="preserve">, оцененные по </w:t>
      </w:r>
      <w:proofErr w:type="spellStart"/>
      <w:r w:rsidR="004946C1">
        <w:rPr>
          <w:rFonts w:ascii="Times New Roman" w:hAnsi="Times New Roman" w:cs="Times New Roman"/>
          <w:sz w:val="24"/>
          <w:szCs w:val="24"/>
        </w:rPr>
        <w:t>РиДМиЖ</w:t>
      </w:r>
      <w:proofErr w:type="spellEnd"/>
      <w:r w:rsidR="00BA1C87">
        <w:rPr>
          <w:rFonts w:ascii="Times New Roman" w:hAnsi="Times New Roman" w:cs="Times New Roman"/>
          <w:sz w:val="24"/>
          <w:szCs w:val="24"/>
        </w:rPr>
        <w:t>. На их основе были подсчитаны</w:t>
      </w:r>
      <w:r w:rsidR="00797F68">
        <w:rPr>
          <w:rFonts w:ascii="Times New Roman" w:hAnsi="Times New Roman" w:cs="Times New Roman"/>
          <w:sz w:val="24"/>
          <w:szCs w:val="24"/>
        </w:rPr>
        <w:t xml:space="preserve"> эмпирические частоты совместных ответов респондентов по трем профилям бедности</w:t>
      </w:r>
      <w:r w:rsidR="00062EFD">
        <w:rPr>
          <w:rFonts w:ascii="Times New Roman" w:hAnsi="Times New Roman" w:cs="Times New Roman"/>
          <w:sz w:val="24"/>
          <w:szCs w:val="24"/>
        </w:rPr>
        <w:t xml:space="preserve"> и для 4-х категорий домохозяйств (Таб</w:t>
      </w:r>
      <w:r w:rsidR="00BA1C87">
        <w:rPr>
          <w:rFonts w:ascii="Times New Roman" w:hAnsi="Times New Roman" w:cs="Times New Roman"/>
          <w:sz w:val="24"/>
          <w:szCs w:val="24"/>
        </w:rPr>
        <w:t>.</w:t>
      </w:r>
      <w:r w:rsidR="00062EFD">
        <w:rPr>
          <w:rFonts w:ascii="Times New Roman" w:hAnsi="Times New Roman" w:cs="Times New Roman"/>
          <w:sz w:val="24"/>
          <w:szCs w:val="24"/>
        </w:rPr>
        <w:t xml:space="preserve">1). Из таблицы видно, что распределения частот заметно отличаются </w:t>
      </w:r>
      <w:r w:rsidR="001E62CA">
        <w:rPr>
          <w:rFonts w:ascii="Times New Roman" w:hAnsi="Times New Roman" w:cs="Times New Roman"/>
          <w:sz w:val="24"/>
          <w:szCs w:val="24"/>
        </w:rPr>
        <w:t>у</w:t>
      </w:r>
      <w:r w:rsidR="00062EFD">
        <w:rPr>
          <w:rFonts w:ascii="Times New Roman" w:hAnsi="Times New Roman" w:cs="Times New Roman"/>
          <w:sz w:val="24"/>
          <w:szCs w:val="24"/>
        </w:rPr>
        <w:t xml:space="preserve"> разных групп домохозяйств</w:t>
      </w:r>
      <w:r w:rsidR="001E62CA">
        <w:rPr>
          <w:rFonts w:ascii="Times New Roman" w:hAnsi="Times New Roman" w:cs="Times New Roman"/>
          <w:sz w:val="24"/>
          <w:szCs w:val="24"/>
        </w:rPr>
        <w:t>. И</w:t>
      </w:r>
      <w:r w:rsidR="00062EFD">
        <w:rPr>
          <w:rFonts w:ascii="Times New Roman" w:hAnsi="Times New Roman" w:cs="Times New Roman"/>
          <w:sz w:val="24"/>
          <w:szCs w:val="24"/>
        </w:rPr>
        <w:t xml:space="preserve">з чего </w:t>
      </w:r>
      <w:r w:rsidR="001E62CA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062EFD">
        <w:rPr>
          <w:rFonts w:ascii="Times New Roman" w:hAnsi="Times New Roman" w:cs="Times New Roman"/>
          <w:sz w:val="24"/>
          <w:szCs w:val="24"/>
        </w:rPr>
        <w:t>след</w:t>
      </w:r>
      <w:r w:rsidR="001E62CA">
        <w:rPr>
          <w:rFonts w:ascii="Times New Roman" w:hAnsi="Times New Roman" w:cs="Times New Roman"/>
          <w:sz w:val="24"/>
          <w:szCs w:val="24"/>
        </w:rPr>
        <w:t>овать</w:t>
      </w:r>
      <w:r w:rsidR="00062EFD">
        <w:rPr>
          <w:rFonts w:ascii="Times New Roman" w:hAnsi="Times New Roman" w:cs="Times New Roman"/>
          <w:sz w:val="24"/>
          <w:szCs w:val="24"/>
        </w:rPr>
        <w:t xml:space="preserve"> </w:t>
      </w:r>
      <w:r w:rsidR="001E62CA">
        <w:rPr>
          <w:rFonts w:ascii="Times New Roman" w:hAnsi="Times New Roman" w:cs="Times New Roman"/>
          <w:sz w:val="24"/>
          <w:szCs w:val="24"/>
        </w:rPr>
        <w:t>и различие в уровне латентной бедности, если таковая существует и согласована с отдельными оценками.</w:t>
      </w:r>
      <w:r w:rsidR="00062E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3466"/>
        <w:gridCol w:w="842"/>
        <w:gridCol w:w="842"/>
        <w:gridCol w:w="842"/>
        <w:gridCol w:w="683"/>
        <w:gridCol w:w="842"/>
        <w:gridCol w:w="842"/>
        <w:gridCol w:w="676"/>
      </w:tblGrid>
      <w:tr w:rsidR="00797F68" w:rsidRPr="00882A0E" w:rsidTr="001E62CA">
        <w:trPr>
          <w:trHeight w:val="5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1 - </w:t>
            </w:r>
            <w:r w:rsidRPr="0088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распределение ответов по трем профилям бедности</w:t>
            </w:r>
          </w:p>
        </w:tc>
      </w:tr>
      <w:tr w:rsidR="00797F68" w:rsidRPr="00882A0E" w:rsidTr="001E62CA">
        <w:trPr>
          <w:trHeight w:val="3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ДХ</w:t>
            </w:r>
          </w:p>
        </w:tc>
        <w:tc>
          <w:tcPr>
            <w:tcW w:w="294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- по доходу, </w:t>
            </w:r>
            <w:proofErr w:type="gramStart"/>
            <w:r w:rsidRPr="0088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по лишению, С - по ощущению</w:t>
            </w:r>
          </w:p>
        </w:tc>
      </w:tr>
      <w:tr w:rsidR="00797F68" w:rsidRPr="00882A0E" w:rsidTr="001E62CA">
        <w:trPr>
          <w:trHeight w:val="26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</w:t>
            </w:r>
          </w:p>
        </w:tc>
      </w:tr>
      <w:tr w:rsidR="00797F68" w:rsidRPr="00882A0E" w:rsidTr="001E62CA">
        <w:trPr>
          <w:trHeight w:val="25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 домохозяйства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38,2%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5,1%</w:t>
            </w:r>
          </w:p>
        </w:tc>
      </w:tr>
      <w:tr w:rsidR="00797F68" w:rsidRPr="00882A0E" w:rsidTr="001E62CA">
        <w:trPr>
          <w:trHeight w:val="25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Домохозяйства </w:t>
            </w:r>
            <w:proofErr w:type="gramStart"/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трудоспособных</w:t>
            </w:r>
            <w:proofErr w:type="gramEnd"/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</w:tr>
      <w:tr w:rsidR="00797F68" w:rsidRPr="00882A0E" w:rsidTr="001E62CA">
        <w:trPr>
          <w:trHeight w:val="50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Домохозяйства трудоспособных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пенсионеров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40,4%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</w:tr>
      <w:tr w:rsidR="00797F68" w:rsidRPr="00882A0E" w:rsidTr="001E62CA">
        <w:trPr>
          <w:trHeight w:val="26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7F68" w:rsidRPr="00882A0E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Домохозяйства пенсионеров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37,4%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882A0E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</w:tr>
    </w:tbl>
    <w:p w:rsidR="00AA2C8D" w:rsidRDefault="00AA2C8D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2CA" w:rsidRDefault="004946C1" w:rsidP="00932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Частоты</w:t>
      </w:r>
      <w:r w:rsidR="00AA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таблице 1 представлены в форме удобной для использования</w:t>
      </w:r>
      <w:r w:rsidR="00AA2C8D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и латентно-структурного анализа</w:t>
      </w:r>
      <w:r w:rsidR="00AA2C8D">
        <w:rPr>
          <w:rFonts w:ascii="Times New Roman" w:hAnsi="Times New Roman" w:cs="Times New Roman"/>
          <w:sz w:val="24"/>
          <w:szCs w:val="24"/>
        </w:rPr>
        <w:t xml:space="preserve">, предложенной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AA2C8D">
        <w:rPr>
          <w:rFonts w:ascii="Times New Roman" w:hAnsi="Times New Roman" w:cs="Times New Roman"/>
          <w:sz w:val="24"/>
          <w:szCs w:val="24"/>
        </w:rPr>
        <w:t>Лазарсфельдом</w:t>
      </w:r>
      <w:proofErr w:type="spellEnd"/>
      <w:r w:rsidR="00AA2C8D">
        <w:rPr>
          <w:rFonts w:ascii="Times New Roman" w:hAnsi="Times New Roman" w:cs="Times New Roman"/>
          <w:sz w:val="24"/>
          <w:szCs w:val="24"/>
        </w:rPr>
        <w:t xml:space="preserve"> в 70-е годы прошлого века. Суть ее в следующем. Если существует некоторая латентная переменная, статистически связанная с тремя другими наблюдаемыми переменными, то можно записать следующую систему уравнений:</w:t>
      </w:r>
    </w:p>
    <w:p w:rsidR="00AA2C8D" w:rsidRDefault="00AA2C8D" w:rsidP="00AA2C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p(S)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A/S) + p(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p(</w:t>
      </w:r>
      <w:r>
        <w:rPr>
          <w:rFonts w:ascii="Times New Roman" w:hAnsi="Times New Roman" w:cs="Times New Roman"/>
          <w:sz w:val="24"/>
          <w:szCs w:val="24"/>
          <w:lang w:val="en-US"/>
        </w:rPr>
        <w:t>A/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8D" w:rsidRPr="00C77663" w:rsidRDefault="00AA2C8D" w:rsidP="00AA2C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p(S)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B/S) + p(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p(</w:t>
      </w:r>
      <w:r>
        <w:rPr>
          <w:rFonts w:ascii="Times New Roman" w:hAnsi="Times New Roman" w:cs="Times New Roman"/>
          <w:sz w:val="24"/>
          <w:szCs w:val="24"/>
          <w:lang w:val="en-US"/>
        </w:rPr>
        <w:t>B/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8D" w:rsidRPr="004F149C" w:rsidRDefault="00AA2C8D" w:rsidP="00AA2C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p(S)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p(C/S) + p(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p(</w:t>
      </w:r>
      <w:r>
        <w:rPr>
          <w:rFonts w:ascii="Times New Roman" w:hAnsi="Times New Roman" w:cs="Times New Roman"/>
          <w:sz w:val="24"/>
          <w:szCs w:val="24"/>
          <w:lang w:val="en-US"/>
        </w:rPr>
        <w:t>C/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ab/>
        <w:t>(1)</w:t>
      </w:r>
    </w:p>
    <w:p w:rsidR="00AA2C8D" w:rsidRDefault="00AA2C8D" w:rsidP="00AA2C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p(S)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017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/S) + p(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p(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017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8D" w:rsidRPr="00C77663" w:rsidRDefault="00AA2C8D" w:rsidP="00AA2C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p(S)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017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/S) + p(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p(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017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8D" w:rsidRDefault="00AA2C8D" w:rsidP="00AA2C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p(S)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BC/S) + p(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p(</w:t>
      </w:r>
      <w:r>
        <w:rPr>
          <w:rFonts w:ascii="Times New Roman" w:hAnsi="Times New Roman" w:cs="Times New Roman"/>
          <w:sz w:val="24"/>
          <w:szCs w:val="24"/>
          <w:lang w:val="en-US"/>
        </w:rPr>
        <w:t>BC/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8D" w:rsidRDefault="00AA2C8D" w:rsidP="00AA2C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p(S)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ABC/S) + p(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01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AD232A">
        <w:rPr>
          <w:rFonts w:ascii="Times New Roman" w:hAnsi="Times New Roman" w:cs="Times New Roman"/>
          <w:sz w:val="24"/>
          <w:szCs w:val="24"/>
          <w:lang w:val="en-US"/>
        </w:rPr>
        <w:t>p(</w:t>
      </w:r>
      <w:r>
        <w:rPr>
          <w:rFonts w:ascii="Times New Roman" w:hAnsi="Times New Roman" w:cs="Times New Roman"/>
          <w:sz w:val="24"/>
          <w:szCs w:val="24"/>
          <w:lang w:val="en-US"/>
        </w:rPr>
        <w:t>ABC/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8D" w:rsidRDefault="00AA2C8D" w:rsidP="00CA51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латентное событие статуса бедности (латентно беден или небеден), влияющее на оценки, даваемые респондентами по трем профилям бедности (события А,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37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37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теоретическая вероятность латентной бедности. Величины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0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B0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эмпирическими вероятностями положительных ответов о бедности по одному, двум и трем профилям. Подобным же образом, величины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68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68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68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… 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68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068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68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теоретические условные вероятности утвердительных оценок по трем профилям бедности при условии положительной оценки по латентному профилю бедности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22D">
        <w:rPr>
          <w:rFonts w:ascii="Times New Roman" w:hAnsi="Times New Roman" w:cs="Times New Roman"/>
          <w:sz w:val="24"/>
          <w:szCs w:val="24"/>
        </w:rPr>
        <w:t xml:space="preserve"> Чтобы решить </w:t>
      </w:r>
      <w:r w:rsidR="006A522D">
        <w:rPr>
          <w:rFonts w:ascii="Times New Roman" w:hAnsi="Times New Roman" w:cs="Times New Roman"/>
          <w:sz w:val="24"/>
          <w:szCs w:val="24"/>
        </w:rPr>
        <w:lastRenderedPageBreak/>
        <w:t xml:space="preserve">эту систему </w:t>
      </w:r>
      <w:r w:rsidR="0077656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6A522D">
        <w:rPr>
          <w:rFonts w:ascii="Times New Roman" w:hAnsi="Times New Roman" w:cs="Times New Roman"/>
          <w:sz w:val="24"/>
          <w:szCs w:val="24"/>
        </w:rPr>
        <w:t>Лазарсфельд</w:t>
      </w:r>
      <w:proofErr w:type="spellEnd"/>
      <w:r w:rsidR="006A522D">
        <w:rPr>
          <w:rFonts w:ascii="Times New Roman" w:hAnsi="Times New Roman" w:cs="Times New Roman"/>
          <w:sz w:val="24"/>
          <w:szCs w:val="24"/>
        </w:rPr>
        <w:t xml:space="preserve"> ввел предположение о локальной независимости переменных  при выполнении латентного события. Смысл его в том, что при исполнении события </w:t>
      </w:r>
      <w:r w:rsidR="006A52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22D">
        <w:rPr>
          <w:rFonts w:ascii="Times New Roman" w:hAnsi="Times New Roman" w:cs="Times New Roman"/>
          <w:sz w:val="24"/>
          <w:szCs w:val="24"/>
        </w:rPr>
        <w:t xml:space="preserve"> условные вероятности совместных наступлений других переменных независимы. Латентная переменная содержит ту </w:t>
      </w:r>
      <w:r w:rsidR="00776563">
        <w:rPr>
          <w:rFonts w:ascii="Times New Roman" w:hAnsi="Times New Roman" w:cs="Times New Roman"/>
          <w:sz w:val="24"/>
          <w:szCs w:val="24"/>
        </w:rPr>
        <w:t>общность,</w:t>
      </w:r>
      <w:r w:rsidR="006A522D">
        <w:rPr>
          <w:rFonts w:ascii="Times New Roman" w:hAnsi="Times New Roman" w:cs="Times New Roman"/>
          <w:sz w:val="24"/>
          <w:szCs w:val="24"/>
        </w:rPr>
        <w:t xml:space="preserve"> которая заставляет их коррелировать между собой. Поэтому все выражения в правой части системы можно представить в виде простых произведений отдельных условных вероятностей:</w:t>
      </w:r>
    </w:p>
    <w:p w:rsidR="006A522D" w:rsidRPr="004F149C" w:rsidRDefault="006A522D" w:rsidP="006A5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45D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45D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A522D" w:rsidRPr="004F149C" w:rsidRDefault="006A522D" w:rsidP="006A5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45D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45D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45D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ab/>
        <w:t>(2)</w:t>
      </w:r>
    </w:p>
    <w:p w:rsidR="006A522D" w:rsidRPr="004F149C" w:rsidRDefault="006A522D" w:rsidP="006A5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14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14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A522D" w:rsidRPr="004F149C" w:rsidRDefault="006A522D" w:rsidP="006A5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14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14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14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14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F149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F149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A522D" w:rsidRDefault="006A522D" w:rsidP="00AA2C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962633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получается нелинейная система из 7 уравнений и 7 неизвестных, которая при определенных условиях </w:t>
      </w:r>
      <w:r w:rsidR="00962633">
        <w:rPr>
          <w:rFonts w:ascii="Times New Roman" w:hAnsi="Times New Roman" w:cs="Times New Roman"/>
          <w:sz w:val="24"/>
          <w:szCs w:val="24"/>
        </w:rPr>
        <w:t>может быть разрешена в положительных значениях, меньших 1. Фактически условие разрешимости системы является ответом на вопрос о статистической согласованности ответов относительно некоторой латентной переменной, а вероятность латентной бедности дает единую комплексную оценку.</w:t>
      </w:r>
    </w:p>
    <w:p w:rsidR="00962633" w:rsidRDefault="00962633" w:rsidP="00AA2C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модельные расчеты представлены в таблице 2. Можно видеть, что вероятность латентной бедности </w:t>
      </w:r>
      <w:r w:rsidR="00F00E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домохозяйств с занятыми лицами, но без пенсионеров </w:t>
      </w:r>
      <w:r w:rsidR="00F00E9C">
        <w:rPr>
          <w:rFonts w:ascii="Times New Roman" w:hAnsi="Times New Roman" w:cs="Times New Roman"/>
          <w:sz w:val="24"/>
          <w:szCs w:val="24"/>
        </w:rPr>
        <w:t>заметно ниже (0.253), чем у домохозяй</w:t>
      </w:r>
      <w:proofErr w:type="gramStart"/>
      <w:r w:rsidR="00F00E9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00E9C">
        <w:rPr>
          <w:rFonts w:ascii="Times New Roman" w:hAnsi="Times New Roman" w:cs="Times New Roman"/>
          <w:sz w:val="24"/>
          <w:szCs w:val="24"/>
        </w:rPr>
        <w:t>и наличии пенсионеров (0.323) и тем более чем у домохозяйств пенсионеров (0.375). Эти результаты не противоречат вербальному представлению о бедности, но получают дополнительно количественную оценку.</w:t>
      </w:r>
    </w:p>
    <w:p w:rsidR="00F00E9C" w:rsidRPr="006A522D" w:rsidRDefault="00F00E9C" w:rsidP="00AA2C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даны также условные вероятности обратного влияния оценок разных профилей на латентную оценку бедности. </w:t>
      </w:r>
    </w:p>
    <w:p w:rsidR="00797F68" w:rsidRDefault="00797F68" w:rsidP="00797F6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00F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Условные вероятности отнесения ДХ к латентному профилю бедности для разных групп населения</w:t>
      </w:r>
    </w:p>
    <w:tbl>
      <w:tblPr>
        <w:tblW w:w="8360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3560"/>
        <w:gridCol w:w="940"/>
        <w:gridCol w:w="940"/>
        <w:gridCol w:w="940"/>
        <w:gridCol w:w="1420"/>
      </w:tblGrid>
      <w:tr w:rsidR="00797F68" w:rsidRPr="003921FC" w:rsidTr="00E80D84">
        <w:trPr>
          <w:trHeight w:val="32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Категории домохозяйств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вероятности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Латентная вероятность</w:t>
            </w:r>
          </w:p>
        </w:tc>
      </w:tr>
      <w:tr w:rsidR="00797F68" w:rsidRPr="003921FC" w:rsidTr="00E80D84">
        <w:trPr>
          <w:trHeight w:val="29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68" w:rsidRPr="00776563" w:rsidRDefault="00776563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P(</w:t>
            </w:r>
            <w:r w:rsidR="00797F68" w:rsidRPr="003921FC">
              <w:rPr>
                <w:rFonts w:ascii="Times New Roman" w:eastAsia="Times New Roman" w:hAnsi="Times New Roman" w:cs="Times New Roman"/>
                <w:lang w:eastAsia="ru-RU"/>
              </w:rPr>
              <w:t>S/А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776563" w:rsidRDefault="00776563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P(</w:t>
            </w:r>
            <w:r w:rsidR="00797F68" w:rsidRPr="003921FC">
              <w:rPr>
                <w:rFonts w:ascii="Times New Roman" w:eastAsia="Times New Roman" w:hAnsi="Times New Roman" w:cs="Times New Roman"/>
                <w:lang w:eastAsia="ru-RU"/>
              </w:rPr>
              <w:t>S/В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F68" w:rsidRPr="00776563" w:rsidRDefault="00776563" w:rsidP="00E8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P(</w:t>
            </w:r>
            <w:r w:rsidR="00797F68" w:rsidRPr="003921FC">
              <w:rPr>
                <w:rFonts w:ascii="Times New Roman" w:eastAsia="Times New Roman" w:hAnsi="Times New Roman" w:cs="Times New Roman"/>
                <w:lang w:eastAsia="ru-RU"/>
              </w:rPr>
              <w:t>S/С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68" w:rsidRPr="003921FC" w:rsidRDefault="00797F68" w:rsidP="00E8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7F68" w:rsidRPr="003921FC" w:rsidTr="001E62CA">
        <w:trPr>
          <w:trHeight w:val="28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Все домохозяйства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0,584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0,320</w:t>
            </w:r>
          </w:p>
        </w:tc>
      </w:tr>
      <w:tr w:rsidR="00797F68" w:rsidRPr="003921FC" w:rsidTr="001E62CA">
        <w:trPr>
          <w:trHeight w:val="44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 xml:space="preserve">Домохозяйства </w:t>
            </w:r>
            <w:proofErr w:type="gramStart"/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трудоспособных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0,554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0,253</w:t>
            </w:r>
          </w:p>
        </w:tc>
      </w:tr>
      <w:tr w:rsidR="00797F68" w:rsidRPr="003921FC" w:rsidTr="001E62C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Домохозяйства трудоспособных    и пенсионеров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0,627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0,323</w:t>
            </w:r>
          </w:p>
        </w:tc>
      </w:tr>
      <w:tr w:rsidR="00797F68" w:rsidRPr="003921FC" w:rsidTr="001E62CA">
        <w:trPr>
          <w:trHeight w:val="29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Домохозяйства пенсионеров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0,578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F68" w:rsidRPr="003921FC" w:rsidRDefault="00797F68" w:rsidP="001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1FC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</w:tr>
    </w:tbl>
    <w:p w:rsidR="00200FF0" w:rsidRDefault="00200FF0" w:rsidP="00DF7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6D35" w:rsidRDefault="00200FF0" w:rsidP="00C56D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Здесь величины </w:t>
      </w:r>
      <w:r w:rsidR="00776563">
        <w:rPr>
          <w:rFonts w:ascii="Times New Roman" w:eastAsia="Times New Roman" w:hAnsi="Times New Roman" w:cs="Times New Roman"/>
          <w:lang w:val="en-US" w:eastAsia="ru-RU"/>
        </w:rPr>
        <w:t>P</w:t>
      </w:r>
      <w:r w:rsidR="00776563" w:rsidRPr="00D176BE">
        <w:rPr>
          <w:rFonts w:ascii="Times New Roman" w:eastAsia="Times New Roman" w:hAnsi="Times New Roman" w:cs="Times New Roman"/>
          <w:lang w:eastAsia="ru-RU"/>
        </w:rPr>
        <w:t>(</w:t>
      </w:r>
      <w:r w:rsidRPr="003921FC">
        <w:rPr>
          <w:rFonts w:ascii="Times New Roman" w:eastAsia="Times New Roman" w:hAnsi="Times New Roman" w:cs="Times New Roman"/>
          <w:lang w:eastAsia="ru-RU"/>
        </w:rPr>
        <w:t>S/А</w:t>
      </w:r>
      <w:r w:rsidR="00776563" w:rsidRPr="00D176B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76563">
        <w:rPr>
          <w:rFonts w:ascii="Times New Roman" w:eastAsia="Times New Roman" w:hAnsi="Times New Roman" w:cs="Times New Roman"/>
          <w:lang w:val="en-US" w:eastAsia="ru-RU"/>
        </w:rPr>
        <w:t>P</w:t>
      </w:r>
      <w:r w:rsidR="00776563" w:rsidRPr="00D176BE">
        <w:rPr>
          <w:rFonts w:ascii="Times New Roman" w:eastAsia="Times New Roman" w:hAnsi="Times New Roman" w:cs="Times New Roman"/>
          <w:lang w:eastAsia="ru-RU"/>
        </w:rPr>
        <w:t>(</w:t>
      </w:r>
      <w:r w:rsidRPr="003921FC">
        <w:rPr>
          <w:rFonts w:ascii="Times New Roman" w:eastAsia="Times New Roman" w:hAnsi="Times New Roman" w:cs="Times New Roman"/>
          <w:lang w:eastAsia="ru-RU"/>
        </w:rPr>
        <w:t>S/В</w:t>
      </w:r>
      <w:r w:rsidR="00776563" w:rsidRPr="00D176B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76563">
        <w:rPr>
          <w:rFonts w:ascii="Times New Roman" w:eastAsia="Times New Roman" w:hAnsi="Times New Roman" w:cs="Times New Roman"/>
          <w:lang w:val="en-US" w:eastAsia="ru-RU"/>
        </w:rPr>
        <w:t>P</w:t>
      </w:r>
      <w:r w:rsidR="00776563" w:rsidRPr="00D176BE">
        <w:rPr>
          <w:rFonts w:ascii="Times New Roman" w:eastAsia="Times New Roman" w:hAnsi="Times New Roman" w:cs="Times New Roman"/>
          <w:lang w:eastAsia="ru-RU"/>
        </w:rPr>
        <w:t>(</w:t>
      </w:r>
      <w:r w:rsidRPr="003921FC">
        <w:rPr>
          <w:rFonts w:ascii="Times New Roman" w:eastAsia="Times New Roman" w:hAnsi="Times New Roman" w:cs="Times New Roman"/>
          <w:lang w:eastAsia="ru-RU"/>
        </w:rPr>
        <w:t>S/С</w:t>
      </w:r>
      <w:r w:rsidR="00776563" w:rsidRPr="00D176B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есть условные вероятности</w:t>
      </w:r>
      <w:r w:rsidR="00CD59FE">
        <w:rPr>
          <w:rFonts w:ascii="Times New Roman" w:eastAsia="Times New Roman" w:hAnsi="Times New Roman" w:cs="Times New Roman"/>
          <w:lang w:eastAsia="ru-RU"/>
        </w:rPr>
        <w:t>, которые показывают</w:t>
      </w:r>
      <w:r w:rsidR="00CF73D0">
        <w:rPr>
          <w:rFonts w:ascii="Times New Roman" w:eastAsia="Times New Roman" w:hAnsi="Times New Roman" w:cs="Times New Roman"/>
          <w:lang w:eastAsia="ru-RU"/>
        </w:rPr>
        <w:t xml:space="preserve"> изменение вероятности</w:t>
      </w:r>
      <w:r>
        <w:rPr>
          <w:rFonts w:ascii="Times New Roman" w:eastAsia="Times New Roman" w:hAnsi="Times New Roman" w:cs="Times New Roman"/>
          <w:lang w:eastAsia="ru-RU"/>
        </w:rPr>
        <w:t xml:space="preserve"> наступления латентной бедности (событие</w:t>
      </w:r>
      <w:r w:rsidRPr="00200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1FC">
        <w:rPr>
          <w:rFonts w:ascii="Times New Roman" w:eastAsia="Times New Roman" w:hAnsi="Times New Roman" w:cs="Times New Roman"/>
          <w:lang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 xml:space="preserve">) при положительном ответе респондентов по какому либо профилю бедности (А,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или С). </w:t>
      </w:r>
      <w:r w:rsidR="00C56D35">
        <w:rPr>
          <w:rFonts w:ascii="Times New Roman" w:hAnsi="Times New Roman" w:cs="Times New Roman"/>
          <w:sz w:val="24"/>
          <w:szCs w:val="24"/>
        </w:rPr>
        <w:t xml:space="preserve">В этой таблице проявляется более рельефно сходство и различие во взаимодействии всех профилей бедности. </w:t>
      </w:r>
    </w:p>
    <w:p w:rsidR="00C56D35" w:rsidRDefault="00C56D35" w:rsidP="00C56D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можно трактовать следующим образом.  Если респондент отнес себя к бедным по какому-либо профилю, то это уточнение меняет вероятность отнесения его к категории бедных по латентному профилю. Так, для респондента категории №2, давшего положительный ответ по профилю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(бедность по ощущению), значение вероятности отнесения его к латентно-бедным увеличивается с 0,253 до 0,702. Чем сильнее возрастает вероятность, тем сильнее связь между указанным профилем и латентным профилем бедности.</w:t>
      </w:r>
    </w:p>
    <w:p w:rsidR="00926675" w:rsidRPr="00510AEF" w:rsidRDefault="00926675" w:rsidP="00C56D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детальная картина о взаимовлиянии разных профилей бедности и латентной бедности показана в таблице 3. Здесь для каждой категории домохозяйств, рассмотренных в таблице 2, приведены обратные условные вероятности. Наибольшие отличия оценок наблюдаются для категории</w:t>
      </w:r>
      <w:r w:rsidR="00DB3EE6">
        <w:rPr>
          <w:rFonts w:ascii="Times New Roman" w:hAnsi="Times New Roman" w:cs="Times New Roman"/>
          <w:sz w:val="24"/>
          <w:szCs w:val="24"/>
        </w:rPr>
        <w:t xml:space="preserve"> пенсионеров, у которых доля абсолютно бедных мала. Первая </w:t>
      </w:r>
      <w:r w:rsidR="00DB3EE6" w:rsidRPr="00510AEF">
        <w:rPr>
          <w:rFonts w:ascii="Times New Roman" w:hAnsi="Times New Roman" w:cs="Times New Roman"/>
          <w:sz w:val="24"/>
          <w:szCs w:val="24"/>
        </w:rPr>
        <w:t xml:space="preserve">строка таблицы </w:t>
      </w:r>
      <w:r w:rsidR="00DB3EE6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показывает, как меняется влияние латентной бедности при росте числа пенсионеров (0,619; 0,384; 0,032). Аналогичная монотонность наблюдается в 5-й строке, где вероятность причислить себя к бедным по лишениям растет вместе с ростом числа пенсионеров (0,</w:t>
      </w:r>
      <w:r w:rsidR="00510AEF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047</w:t>
      </w:r>
      <w:r w:rsidR="00DB3EE6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; 0,</w:t>
      </w:r>
      <w:r w:rsidR="00510AEF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076</w:t>
      </w:r>
      <w:r w:rsidR="00DB3EE6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; 0,</w:t>
      </w:r>
      <w:r w:rsidR="00510AEF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B3EE6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эта группа не является латентно бедной</w:t>
      </w:r>
      <w:r w:rsidR="00DB3EE6" w:rsidRP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что этот рост характерен и для латентно бедных по этому профилю (строка 2). </w:t>
      </w:r>
    </w:p>
    <w:p w:rsidR="00926675" w:rsidRDefault="00926675" w:rsidP="00C56D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– Условные вероятности трех профилей бедности от латентной бедности</w:t>
      </w:r>
    </w:p>
    <w:tbl>
      <w:tblPr>
        <w:tblW w:w="5720" w:type="dxa"/>
        <w:jc w:val="center"/>
        <w:tblInd w:w="93" w:type="dxa"/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</w:tblGrid>
      <w:tr w:rsidR="00926675" w:rsidRPr="00926675" w:rsidTr="00926675">
        <w:trPr>
          <w:trHeight w:val="260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Расчетные вероятности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Категории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домохозяйств</w:t>
            </w:r>
          </w:p>
        </w:tc>
      </w:tr>
      <w:tr w:rsidR="00926675" w:rsidRPr="00926675" w:rsidTr="00926675">
        <w:trPr>
          <w:trHeight w:val="26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26675" w:rsidRPr="00926675" w:rsidTr="00926675">
        <w:trPr>
          <w:trHeight w:val="2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P(A/S) 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</w:tr>
      <w:tr w:rsidR="00926675" w:rsidRPr="00926675" w:rsidTr="00926675">
        <w:trPr>
          <w:trHeight w:val="2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P(B/S) 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0,556</w:t>
            </w:r>
          </w:p>
        </w:tc>
      </w:tr>
      <w:tr w:rsidR="00926675" w:rsidRPr="00926675" w:rsidTr="00926675">
        <w:trPr>
          <w:trHeight w:val="2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P(C/S) 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0,941</w:t>
            </w:r>
          </w:p>
        </w:tc>
      </w:tr>
      <w:tr w:rsidR="00926675" w:rsidRPr="00926675" w:rsidTr="00926675">
        <w:trPr>
          <w:trHeight w:val="2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P(A/</w:t>
            </w: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S</w:t>
            </w: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926675" w:rsidRPr="00926675" w:rsidTr="00926675">
        <w:trPr>
          <w:trHeight w:val="2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P(B/</w:t>
            </w: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S</w:t>
            </w: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</w:tr>
      <w:tr w:rsidR="00926675" w:rsidRPr="00926675" w:rsidTr="00926675">
        <w:trPr>
          <w:trHeight w:val="2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P(C/</w:t>
            </w: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S</w:t>
            </w: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926675" w:rsidRPr="00926675" w:rsidTr="00926675">
        <w:trPr>
          <w:trHeight w:val="27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P(S)  =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75" w:rsidRPr="00926675" w:rsidRDefault="00926675" w:rsidP="009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</w:tr>
    </w:tbl>
    <w:p w:rsidR="00200FF0" w:rsidRDefault="00200FF0" w:rsidP="00CF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AEF" w:rsidRDefault="0029504F" w:rsidP="00CF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заключение можно отметить, что оценка латентной бедности для разных категорий домохозяй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изка к 30% для всех рассмотренных категорий. Полученные оценки не противоречивы на вербальном уровне и могут быть полезны при анализе благосостояния населения России. Этот подход проблематично использовать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сравнительного анализа бедности разных регионов и стран, т.к. нет необходимой информации. Однако можно </w:t>
      </w:r>
      <w:r w:rsidR="00A245DE">
        <w:rPr>
          <w:rFonts w:ascii="Times New Roman" w:hAnsi="Times New Roman" w:cs="Times New Roman"/>
          <w:sz w:val="24"/>
          <w:szCs w:val="24"/>
        </w:rPr>
        <w:t xml:space="preserve">использовать эту схему, если заменить оценку бедности по лишению, на оценку уровня расходов на определенные виды услуг и товаров (отдых, товары длительного пользования, медицинские услуги). </w:t>
      </w:r>
      <w:r w:rsidR="00A754A3">
        <w:rPr>
          <w:rFonts w:ascii="Times New Roman" w:hAnsi="Times New Roman" w:cs="Times New Roman"/>
          <w:sz w:val="24"/>
          <w:szCs w:val="24"/>
        </w:rPr>
        <w:t xml:space="preserve"> Есть трудности при решении системы уравнений, так как не при всех значениях частот оно может быть получено. Но это означает, что между взятыми переменными не существует необходимой статистической связи. </w:t>
      </w:r>
    </w:p>
    <w:p w:rsidR="00A754A3" w:rsidRDefault="00A754A3" w:rsidP="00CF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4A3" w:rsidRDefault="00A754A3" w:rsidP="00CF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A754A3" w:rsidRPr="00A754A3" w:rsidRDefault="00A754A3" w:rsidP="00A754A3">
      <w:pPr>
        <w:pStyle w:val="a7"/>
        <w:numPr>
          <w:ilvl w:val="0"/>
          <w:numId w:val="1"/>
        </w:numPr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Математические</w:t>
      </w:r>
      <w:r w:rsidRPr="00982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</w:t>
      </w:r>
      <w:r w:rsidRPr="00982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82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современной</w:t>
      </w:r>
      <w:r w:rsidRPr="00982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буржуазной</w:t>
      </w:r>
      <w:r w:rsidRPr="00982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социологии</w:t>
      </w:r>
      <w:r w:rsidRPr="00982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2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82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9824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243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1966</w:t>
      </w:r>
    </w:p>
    <w:p w:rsidR="00A754A3" w:rsidRPr="00A754A3" w:rsidRDefault="00A754A3" w:rsidP="00A754A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A3">
        <w:rPr>
          <w:rFonts w:ascii="Times New Roman" w:hAnsi="Times New Roman" w:cs="Times New Roman"/>
          <w:sz w:val="24"/>
          <w:szCs w:val="24"/>
        </w:rPr>
        <w:t>Математические методы в социальных науках, М</w:t>
      </w:r>
      <w:proofErr w:type="gramStart"/>
      <w:r w:rsidRPr="00A754A3">
        <w:rPr>
          <w:rFonts w:ascii="Times New Roman" w:hAnsi="Times New Roman" w:cs="Times New Roman"/>
          <w:sz w:val="24"/>
          <w:szCs w:val="24"/>
        </w:rPr>
        <w:t>:. «</w:t>
      </w:r>
      <w:proofErr w:type="gramEnd"/>
      <w:r w:rsidRPr="00A754A3">
        <w:rPr>
          <w:rFonts w:ascii="Times New Roman" w:hAnsi="Times New Roman" w:cs="Times New Roman"/>
          <w:sz w:val="24"/>
          <w:szCs w:val="24"/>
        </w:rPr>
        <w:t>Прогресс», 1973</w:t>
      </w:r>
    </w:p>
    <w:p w:rsidR="00A754A3" w:rsidRPr="002A15B5" w:rsidRDefault="00A754A3" w:rsidP="00A754A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монетарных и немонетарных характеристик уровня жизни российских домохозяйств за годы постсоветского развития (аналитический доклад),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>
        <w:rPr>
          <w:rFonts w:ascii="Times New Roman" w:hAnsi="Times New Roman" w:cs="Times New Roman"/>
          <w:sz w:val="24"/>
          <w:szCs w:val="24"/>
        </w:rPr>
        <w:t>Фонд «Либеральная миссия», 2014 г.</w:t>
      </w:r>
    </w:p>
    <w:p w:rsidR="00A754A3" w:rsidRPr="00DF766F" w:rsidRDefault="00A754A3" w:rsidP="00CF7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4A3" w:rsidRPr="00D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1BC"/>
    <w:multiLevelType w:val="hybridMultilevel"/>
    <w:tmpl w:val="C8EE108A"/>
    <w:lvl w:ilvl="0" w:tplc="0C268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F"/>
    <w:rsid w:val="00062EFD"/>
    <w:rsid w:val="00102F49"/>
    <w:rsid w:val="001B1773"/>
    <w:rsid w:val="001E62CA"/>
    <w:rsid w:val="00200FF0"/>
    <w:rsid w:val="0029504F"/>
    <w:rsid w:val="003732C5"/>
    <w:rsid w:val="00377723"/>
    <w:rsid w:val="003A53A2"/>
    <w:rsid w:val="003D25F5"/>
    <w:rsid w:val="00491B1A"/>
    <w:rsid w:val="004946C1"/>
    <w:rsid w:val="00510AEF"/>
    <w:rsid w:val="0061653B"/>
    <w:rsid w:val="00677D6D"/>
    <w:rsid w:val="006A522D"/>
    <w:rsid w:val="00776563"/>
    <w:rsid w:val="00797F68"/>
    <w:rsid w:val="008747A8"/>
    <w:rsid w:val="00887664"/>
    <w:rsid w:val="00926675"/>
    <w:rsid w:val="00932BC0"/>
    <w:rsid w:val="00962633"/>
    <w:rsid w:val="009B56AE"/>
    <w:rsid w:val="009C75B6"/>
    <w:rsid w:val="00A05913"/>
    <w:rsid w:val="00A245DE"/>
    <w:rsid w:val="00A42ABA"/>
    <w:rsid w:val="00A754A3"/>
    <w:rsid w:val="00AA2C8D"/>
    <w:rsid w:val="00AC4280"/>
    <w:rsid w:val="00BA1C87"/>
    <w:rsid w:val="00C56D35"/>
    <w:rsid w:val="00CA51D9"/>
    <w:rsid w:val="00CD59FE"/>
    <w:rsid w:val="00CE26B6"/>
    <w:rsid w:val="00CF73D0"/>
    <w:rsid w:val="00D010CE"/>
    <w:rsid w:val="00D176BE"/>
    <w:rsid w:val="00DB3EE6"/>
    <w:rsid w:val="00DF766F"/>
    <w:rsid w:val="00E65C76"/>
    <w:rsid w:val="00E91FED"/>
    <w:rsid w:val="00F00E9C"/>
    <w:rsid w:val="00F271D7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7664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887664"/>
    <w:rPr>
      <w:b/>
      <w:bCs/>
    </w:rPr>
  </w:style>
  <w:style w:type="paragraph" w:styleId="a7">
    <w:name w:val="List Paragraph"/>
    <w:basedOn w:val="a"/>
    <w:uiPriority w:val="34"/>
    <w:qFormat/>
    <w:rsid w:val="00A754A3"/>
    <w:pPr>
      <w:ind w:left="720"/>
      <w:contextualSpacing/>
    </w:pPr>
  </w:style>
  <w:style w:type="character" w:customStyle="1" w:styleId="apple-converted-space">
    <w:name w:val="apple-converted-space"/>
    <w:basedOn w:val="a0"/>
    <w:rsid w:val="00A754A3"/>
  </w:style>
  <w:style w:type="character" w:customStyle="1" w:styleId="w">
    <w:name w:val="w"/>
    <w:basedOn w:val="a0"/>
    <w:rsid w:val="00A7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7664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887664"/>
    <w:rPr>
      <w:b/>
      <w:bCs/>
    </w:rPr>
  </w:style>
  <w:style w:type="paragraph" w:styleId="a7">
    <w:name w:val="List Paragraph"/>
    <w:basedOn w:val="a"/>
    <w:uiPriority w:val="34"/>
    <w:qFormat/>
    <w:rsid w:val="00A754A3"/>
    <w:pPr>
      <w:ind w:left="720"/>
      <w:contextualSpacing/>
    </w:pPr>
  </w:style>
  <w:style w:type="character" w:customStyle="1" w:styleId="apple-converted-space">
    <w:name w:val="apple-converted-space"/>
    <w:basedOn w:val="a0"/>
    <w:rsid w:val="00A754A3"/>
  </w:style>
  <w:style w:type="character" w:customStyle="1" w:styleId="w">
    <w:name w:val="w"/>
    <w:basedOn w:val="a0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871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664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152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A63B-A599-4962-B2C3-E5343CF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Шепелева Елена</cp:lastModifiedBy>
  <cp:revision>2</cp:revision>
  <cp:lastPrinted>2017-02-28T11:40:00Z</cp:lastPrinted>
  <dcterms:created xsi:type="dcterms:W3CDTF">2017-04-19T11:17:00Z</dcterms:created>
  <dcterms:modified xsi:type="dcterms:W3CDTF">2017-04-19T11:17:00Z</dcterms:modified>
</cp:coreProperties>
</file>