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42" w:rsidRPr="00167ADE" w:rsidRDefault="002A4042" w:rsidP="002A4042">
      <w:pPr>
        <w:pStyle w:val="a3"/>
        <w:jc w:val="center"/>
        <w:rPr>
          <w:sz w:val="28"/>
          <w:szCs w:val="28"/>
          <w:lang w:val="en-US"/>
        </w:rPr>
      </w:pPr>
      <w:r w:rsidRPr="008F4D0C">
        <w:rPr>
          <w:b/>
          <w:bCs/>
          <w:sz w:val="28"/>
          <w:szCs w:val="28"/>
          <w:lang w:val="en-US"/>
        </w:rPr>
        <w:t>Abstract</w:t>
      </w:r>
      <w:r w:rsidRPr="008F4D0C">
        <w:rPr>
          <w:sz w:val="28"/>
          <w:szCs w:val="28"/>
          <w:lang w:val="en-US"/>
        </w:rPr>
        <w:t xml:space="preserve"> </w:t>
      </w:r>
    </w:p>
    <w:p w:rsidR="002A4042" w:rsidRPr="00167ADE" w:rsidRDefault="002A4042" w:rsidP="002A4042">
      <w:pPr>
        <w:pStyle w:val="a3"/>
        <w:jc w:val="center"/>
        <w:rPr>
          <w:lang w:val="en-US"/>
        </w:rPr>
      </w:pPr>
      <w:r>
        <w:rPr>
          <w:b/>
          <w:bCs/>
          <w:lang w:val="en-US"/>
        </w:rPr>
        <w:t>RS-</w:t>
      </w:r>
      <w:r w:rsidR="00530A6C">
        <w:rPr>
          <w:b/>
          <w:bCs/>
          <w:lang w:val="en-US"/>
        </w:rPr>
        <w:t>90</w:t>
      </w:r>
    </w:p>
    <w:p w:rsidR="002A4042" w:rsidRPr="00530A6C" w:rsidRDefault="002A4042" w:rsidP="00123F03">
      <w:pPr>
        <w:pStyle w:val="a3"/>
        <w:spacing w:line="360" w:lineRule="auto"/>
        <w:rPr>
          <w:lang w:val="en-US"/>
        </w:rPr>
      </w:pPr>
      <w:r w:rsidRPr="00530A6C">
        <w:rPr>
          <w:lang w:val="en-US"/>
        </w:rPr>
        <w:t xml:space="preserve">Title: </w:t>
      </w:r>
      <w:r w:rsidRPr="00530A6C">
        <w:rPr>
          <w:bCs/>
          <w:lang w:val="en-US"/>
        </w:rPr>
        <w:t>"</w:t>
      </w:r>
      <w:r w:rsidRPr="00530A6C">
        <w:rPr>
          <w:bCs/>
          <w:lang w:val="en-US"/>
        </w:rPr>
        <w:softHyphen/>
      </w:r>
      <w:r w:rsidRPr="00530A6C">
        <w:rPr>
          <w:bCs/>
          <w:lang w:val="en-US"/>
        </w:rPr>
        <w:softHyphen/>
      </w:r>
      <w:r w:rsidRPr="00530A6C">
        <w:rPr>
          <w:bCs/>
          <w:lang w:val="en-US"/>
        </w:rPr>
        <w:softHyphen/>
      </w:r>
      <w:r w:rsidR="00530A6C" w:rsidRPr="00530A6C">
        <w:rPr>
          <w:bCs/>
          <w:lang w:val="en-US"/>
        </w:rPr>
        <w:t>Monitoring of Socioeconomic Behavior of Russian Households and Social Problems of Childhood</w:t>
      </w:r>
      <w:r w:rsidRPr="00530A6C">
        <w:rPr>
          <w:bCs/>
          <w:lang w:val="en-US"/>
        </w:rPr>
        <w:t>"</w:t>
      </w:r>
      <w:r w:rsidRPr="00530A6C">
        <w:rPr>
          <w:lang w:val="en-US"/>
        </w:rPr>
        <w:t xml:space="preserve"> </w:t>
      </w:r>
    </w:p>
    <w:p w:rsidR="002A4042" w:rsidRPr="00530A6C" w:rsidRDefault="002A4042" w:rsidP="002A4042">
      <w:pPr>
        <w:pStyle w:val="a3"/>
        <w:rPr>
          <w:b/>
          <w:bCs/>
          <w:lang w:val="en-US"/>
        </w:rPr>
      </w:pPr>
      <w:r w:rsidRPr="00530A6C">
        <w:rPr>
          <w:lang w:val="en-US"/>
        </w:rPr>
        <w:t xml:space="preserve">Head of the Project: </w:t>
      </w:r>
      <w:r w:rsidR="00530A6C">
        <w:rPr>
          <w:shd w:val="clear" w:color="auto" w:fill="FFFFFF"/>
          <w:lang w:val="en-US"/>
        </w:rPr>
        <w:t>P.M. </w:t>
      </w:r>
      <w:proofErr w:type="spellStart"/>
      <w:r w:rsidR="00530A6C">
        <w:rPr>
          <w:shd w:val="clear" w:color="auto" w:fill="FFFFFF"/>
          <w:lang w:val="en-US"/>
        </w:rPr>
        <w:t>Kozyreva</w:t>
      </w:r>
      <w:proofErr w:type="spellEnd"/>
      <w:r w:rsidR="00530A6C">
        <w:rPr>
          <w:shd w:val="clear" w:color="auto" w:fill="FFFFFF"/>
          <w:lang w:val="en-US"/>
        </w:rPr>
        <w:t>, Y.M. </w:t>
      </w:r>
      <w:proofErr w:type="spellStart"/>
      <w:r w:rsidR="00530A6C">
        <w:rPr>
          <w:shd w:val="clear" w:color="auto" w:fill="FFFFFF"/>
          <w:lang w:val="en-US"/>
        </w:rPr>
        <w:t>Roshchina</w:t>
      </w:r>
      <w:proofErr w:type="spellEnd"/>
    </w:p>
    <w:p w:rsidR="002A4042" w:rsidRPr="00530A6C" w:rsidRDefault="002A4042" w:rsidP="002A4042">
      <w:pPr>
        <w:pStyle w:val="a3"/>
        <w:rPr>
          <w:b/>
          <w:bCs/>
          <w:lang w:val="en-US"/>
        </w:rPr>
      </w:pPr>
      <w:r w:rsidRPr="00530A6C">
        <w:rPr>
          <w:bCs/>
          <w:lang w:val="en-US"/>
        </w:rPr>
        <w:t>Department/Institute</w:t>
      </w:r>
      <w:r w:rsidRPr="00530A6C">
        <w:rPr>
          <w:b/>
          <w:bCs/>
          <w:lang w:val="en-US"/>
        </w:rPr>
        <w:t xml:space="preserve">: </w:t>
      </w:r>
      <w:r w:rsidR="00530A6C">
        <w:rPr>
          <w:shd w:val="clear" w:color="auto" w:fill="FFFFFF"/>
          <w:lang w:val="en-US"/>
        </w:rPr>
        <w:t>Center for Longitudinal Studies, Institute for Social Policy</w:t>
      </w:r>
    </w:p>
    <w:p w:rsidR="002A4042" w:rsidRPr="00530A6C" w:rsidRDefault="002A4042" w:rsidP="002A4042">
      <w:pPr>
        <w:pStyle w:val="a3"/>
        <w:rPr>
          <w:b/>
          <w:bCs/>
          <w:lang w:val="en-US"/>
        </w:rPr>
      </w:pPr>
    </w:p>
    <w:p w:rsidR="00530A6C" w:rsidRPr="009546D5" w:rsidRDefault="002A4042" w:rsidP="00530A6C">
      <w:pPr>
        <w:pStyle w:val="a3"/>
        <w:numPr>
          <w:ilvl w:val="0"/>
          <w:numId w:val="5"/>
        </w:numPr>
        <w:suppressAutoHyphens/>
        <w:overflowPunct w:val="0"/>
        <w:spacing w:before="0" w:beforeAutospacing="0" w:after="240" w:afterAutospacing="0" w:line="360" w:lineRule="auto"/>
        <w:rPr>
          <w:lang w:val="en-US"/>
        </w:rPr>
      </w:pPr>
      <w:r w:rsidRPr="00530A6C">
        <w:rPr>
          <w:b/>
          <w:bCs/>
          <w:lang w:val="en-US"/>
        </w:rPr>
        <w:t>Goal of research</w:t>
      </w:r>
      <w:r w:rsidR="00530A6C">
        <w:rPr>
          <w:b/>
          <w:bCs/>
          <w:lang w:val="en-US"/>
        </w:rPr>
        <w:t xml:space="preserve"> </w:t>
      </w:r>
      <w:r w:rsidR="00530A6C">
        <w:rPr>
          <w:bCs/>
          <w:lang w:val="en-US"/>
        </w:rPr>
        <w:t>is</w:t>
      </w:r>
      <w:r w:rsidRPr="00530A6C">
        <w:rPr>
          <w:b/>
          <w:bCs/>
          <w:lang w:val="en-US"/>
        </w:rPr>
        <w:t xml:space="preserve"> </w:t>
      </w:r>
      <w:r w:rsidR="00530A6C" w:rsidRPr="00530A6C">
        <w:rPr>
          <w:bCs/>
          <w:lang w:val="en-US"/>
        </w:rPr>
        <w:t>to</w:t>
      </w:r>
      <w:r w:rsidR="00530A6C">
        <w:rPr>
          <w:b/>
          <w:bCs/>
          <w:lang w:val="en-US"/>
        </w:rPr>
        <w:t xml:space="preserve"> </w:t>
      </w:r>
      <w:r w:rsidR="00530A6C">
        <w:rPr>
          <w:shd w:val="clear" w:color="auto" w:fill="FFFFFF"/>
          <w:lang w:val="en-US"/>
        </w:rPr>
        <w:t xml:space="preserve">analyze household socio-economic behavior in </w:t>
      </w:r>
      <w:r w:rsidR="00530A6C" w:rsidRPr="00530A6C">
        <w:rPr>
          <w:lang w:val="en-US"/>
        </w:rPr>
        <w:t xml:space="preserve">1994—2015 </w:t>
      </w:r>
      <w:r w:rsidR="00530A6C">
        <w:rPr>
          <w:shd w:val="clear" w:color="auto" w:fill="FFFFFF"/>
          <w:lang w:val="en-US"/>
        </w:rPr>
        <w:t xml:space="preserve">and to assess the relative well-being of the households with minors and </w:t>
      </w:r>
      <w:r w:rsidR="008A1358">
        <w:rPr>
          <w:shd w:val="clear" w:color="auto" w:fill="FFFFFF"/>
          <w:lang w:val="en-US"/>
        </w:rPr>
        <w:t xml:space="preserve">the </w:t>
      </w:r>
      <w:r w:rsidR="00530A6C">
        <w:rPr>
          <w:shd w:val="clear" w:color="auto" w:fill="FFFFFF"/>
          <w:lang w:val="en-US"/>
        </w:rPr>
        <w:t>availability of educational and medical services for children and teenagers of various social background.</w:t>
      </w:r>
    </w:p>
    <w:p w:rsidR="002A4042" w:rsidRPr="00530A6C" w:rsidRDefault="002A4042" w:rsidP="008A1358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rPr>
          <w:b/>
          <w:bCs/>
          <w:lang w:val="en-US"/>
        </w:rPr>
      </w:pPr>
      <w:r w:rsidRPr="00530A6C">
        <w:rPr>
          <w:b/>
          <w:bCs/>
          <w:lang w:val="en-US"/>
        </w:rPr>
        <w:t xml:space="preserve">Methodology: </w:t>
      </w:r>
      <w:r w:rsidR="008A1358">
        <w:rPr>
          <w:shd w:val="clear" w:color="auto" w:fill="FFFFFF"/>
          <w:lang w:val="en-US"/>
        </w:rPr>
        <w:t>quantitative analysis of the data obtained from the series of nationally representative household-based longitudinal surveys, covering the period between 1994 and 2015.</w:t>
      </w:r>
    </w:p>
    <w:p w:rsidR="002A4042" w:rsidRPr="00530A6C" w:rsidRDefault="002A4042" w:rsidP="008A1358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rPr>
          <w:b/>
          <w:bCs/>
          <w:lang w:val="en-US"/>
        </w:rPr>
      </w:pPr>
      <w:r w:rsidRPr="00530A6C">
        <w:rPr>
          <w:b/>
          <w:bCs/>
          <w:lang w:val="en-US"/>
        </w:rPr>
        <w:t xml:space="preserve">Empirical base of research: </w:t>
      </w:r>
      <w:r w:rsidR="008A1358" w:rsidRPr="008A1358">
        <w:rPr>
          <w:bCs/>
          <w:lang w:val="en-US"/>
        </w:rPr>
        <w:t xml:space="preserve">“Russia Longitudinal Monitoring Survey of HSE” (RLMS-HSE) database, which combines the </w:t>
      </w:r>
      <w:r w:rsidR="008A1358">
        <w:rPr>
          <w:bCs/>
          <w:lang w:val="en-US"/>
        </w:rPr>
        <w:t xml:space="preserve">data collected from 1994 to 2015, with the particular focus on the data collected between October, 2015 </w:t>
      </w:r>
      <w:r w:rsidR="008A1358">
        <w:rPr>
          <w:shd w:val="clear" w:color="auto" w:fill="FFFFFF"/>
          <w:lang w:val="en-US"/>
        </w:rPr>
        <w:t xml:space="preserve">and January, 2016. </w:t>
      </w:r>
    </w:p>
    <w:p w:rsidR="00123F03" w:rsidRPr="00123F03" w:rsidRDefault="002A4042" w:rsidP="00123F03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lang w:val="en-US"/>
        </w:rPr>
      </w:pPr>
      <w:r w:rsidRPr="00530A6C">
        <w:rPr>
          <w:b/>
          <w:bCs/>
          <w:lang w:val="en-US"/>
        </w:rPr>
        <w:t xml:space="preserve">Results of research: </w:t>
      </w:r>
    </w:p>
    <w:p w:rsidR="002A4042" w:rsidRDefault="00123F03" w:rsidP="00232D8C">
      <w:pPr>
        <w:pStyle w:val="a3"/>
        <w:spacing w:before="0" w:beforeAutospacing="0" w:after="240" w:afterAutospacing="0" w:line="360" w:lineRule="auto"/>
        <w:ind w:left="720"/>
        <w:jc w:val="both"/>
        <w:rPr>
          <w:bCs/>
          <w:lang w:val="en-US"/>
        </w:rPr>
      </w:pPr>
      <w:r>
        <w:rPr>
          <w:bCs/>
          <w:lang w:val="en-US"/>
        </w:rPr>
        <w:t xml:space="preserve">In 2015, </w:t>
      </w:r>
      <w:r w:rsidR="001748A8">
        <w:rPr>
          <w:bCs/>
          <w:lang w:val="en-US"/>
        </w:rPr>
        <w:t xml:space="preserve">a </w:t>
      </w:r>
      <w:r w:rsidRPr="00123F03">
        <w:rPr>
          <w:bCs/>
          <w:lang w:val="en-US"/>
        </w:rPr>
        <w:t>real household income</w:t>
      </w:r>
      <w:r>
        <w:rPr>
          <w:bCs/>
          <w:lang w:val="en-US"/>
        </w:rPr>
        <w:t xml:space="preserve"> co</w:t>
      </w:r>
      <w:r w:rsidR="001748A8">
        <w:rPr>
          <w:bCs/>
          <w:lang w:val="en-US"/>
        </w:rPr>
        <w:t>ntinued</w:t>
      </w:r>
      <w:r>
        <w:rPr>
          <w:bCs/>
          <w:lang w:val="en-US"/>
        </w:rPr>
        <w:t xml:space="preserve"> to drop, however, at a slower pace</w:t>
      </w:r>
      <w:r w:rsidR="00FC250B">
        <w:rPr>
          <w:bCs/>
          <w:lang w:val="en-US"/>
        </w:rPr>
        <w:t xml:space="preserve"> than in </w:t>
      </w:r>
      <w:r>
        <w:rPr>
          <w:bCs/>
          <w:lang w:val="en-US"/>
        </w:rPr>
        <w:t>the previous year. While</w:t>
      </w:r>
      <w:r w:rsidR="001748A8">
        <w:rPr>
          <w:bCs/>
          <w:lang w:val="en-US"/>
        </w:rPr>
        <w:t xml:space="preserve"> an</w:t>
      </w:r>
      <w:r>
        <w:rPr>
          <w:bCs/>
          <w:lang w:val="en-US"/>
        </w:rPr>
        <w:t xml:space="preserve"> average income fell by </w:t>
      </w:r>
      <w:r w:rsidRPr="00123F03">
        <w:rPr>
          <w:bCs/>
          <w:lang w:val="en-US"/>
        </w:rPr>
        <w:t>5.4%</w:t>
      </w:r>
      <w:r w:rsidR="001748A8">
        <w:rPr>
          <w:bCs/>
          <w:lang w:val="en-US"/>
        </w:rPr>
        <w:t xml:space="preserve"> in 2014</w:t>
      </w:r>
      <w:r>
        <w:rPr>
          <w:bCs/>
          <w:lang w:val="en-US"/>
        </w:rPr>
        <w:t xml:space="preserve">, </w:t>
      </w:r>
      <w:r w:rsidR="008870C1">
        <w:rPr>
          <w:bCs/>
          <w:lang w:val="en-US"/>
        </w:rPr>
        <w:t xml:space="preserve">it decreased by </w:t>
      </w:r>
      <w:r w:rsidR="001748A8">
        <w:rPr>
          <w:bCs/>
          <w:lang w:val="en-US"/>
        </w:rPr>
        <w:t>1.1% in 2015, going below the level of 2008. A</w:t>
      </w:r>
      <w:r w:rsidRPr="00123F03">
        <w:rPr>
          <w:bCs/>
          <w:lang w:val="en-US"/>
        </w:rPr>
        <w:t>n overall decrease in wor</w:t>
      </w:r>
      <w:r w:rsidR="001748A8">
        <w:rPr>
          <w:bCs/>
          <w:lang w:val="en-US"/>
        </w:rPr>
        <w:t>k-related income amounted to 5.6</w:t>
      </w:r>
      <w:r w:rsidRPr="00123F03">
        <w:rPr>
          <w:bCs/>
          <w:lang w:val="en-US"/>
        </w:rPr>
        <w:t xml:space="preserve"> per</w:t>
      </w:r>
      <w:r w:rsidR="001748A8">
        <w:rPr>
          <w:bCs/>
          <w:lang w:val="en-US"/>
        </w:rPr>
        <w:t xml:space="preserve"> </w:t>
      </w:r>
      <w:r w:rsidRPr="00123F03">
        <w:rPr>
          <w:bCs/>
          <w:lang w:val="en-US"/>
        </w:rPr>
        <w:t>c</w:t>
      </w:r>
      <w:r w:rsidR="001748A8">
        <w:rPr>
          <w:bCs/>
          <w:lang w:val="en-US"/>
        </w:rPr>
        <w:t>ent. I</w:t>
      </w:r>
      <w:r w:rsidRPr="00123F03">
        <w:rPr>
          <w:bCs/>
          <w:lang w:val="en-US"/>
        </w:rPr>
        <w:t xml:space="preserve">ncome from </w:t>
      </w:r>
      <w:r w:rsidR="00FC250B">
        <w:rPr>
          <w:bCs/>
          <w:lang w:val="en-US"/>
        </w:rPr>
        <w:t xml:space="preserve">employment went down by </w:t>
      </w:r>
      <w:r w:rsidR="006014C6">
        <w:rPr>
          <w:bCs/>
          <w:lang w:val="en-US"/>
        </w:rPr>
        <w:t>11.8%</w:t>
      </w:r>
      <w:r w:rsidR="00232D8C">
        <w:rPr>
          <w:bCs/>
          <w:lang w:val="en-US"/>
        </w:rPr>
        <w:t xml:space="preserve"> in</w:t>
      </w:r>
      <w:r w:rsidR="00232D8C" w:rsidRPr="00123F03">
        <w:rPr>
          <w:bCs/>
          <w:lang w:val="en-US"/>
        </w:rPr>
        <w:t xml:space="preserve"> state-owned </w:t>
      </w:r>
      <w:r w:rsidR="00232D8C">
        <w:rPr>
          <w:bCs/>
          <w:lang w:val="en-US"/>
        </w:rPr>
        <w:t xml:space="preserve">enterprises, </w:t>
      </w:r>
      <w:r w:rsidR="006014C6">
        <w:rPr>
          <w:bCs/>
          <w:lang w:val="en-US"/>
        </w:rPr>
        <w:t xml:space="preserve">dropped </w:t>
      </w:r>
      <w:r w:rsidR="00FC250B">
        <w:rPr>
          <w:bCs/>
          <w:lang w:val="en-US"/>
        </w:rPr>
        <w:t>by</w:t>
      </w:r>
      <w:r w:rsidR="006014C6">
        <w:rPr>
          <w:bCs/>
          <w:lang w:val="en-US"/>
        </w:rPr>
        <w:t xml:space="preserve"> 1.9% in </w:t>
      </w:r>
      <w:r w:rsidR="006014C6" w:rsidRPr="00123F03">
        <w:rPr>
          <w:bCs/>
          <w:lang w:val="en-US"/>
        </w:rPr>
        <w:t>priv</w:t>
      </w:r>
      <w:r w:rsidR="006014C6">
        <w:rPr>
          <w:bCs/>
          <w:lang w:val="en-US"/>
        </w:rPr>
        <w:t xml:space="preserve">ate organizations but rose by 19.4% in </w:t>
      </w:r>
      <w:r w:rsidR="006014C6" w:rsidRPr="00123F03">
        <w:rPr>
          <w:bCs/>
          <w:lang w:val="en-US"/>
        </w:rPr>
        <w:t>public-pr</w:t>
      </w:r>
      <w:r w:rsidR="006014C6">
        <w:rPr>
          <w:bCs/>
          <w:lang w:val="en-US"/>
        </w:rPr>
        <w:t xml:space="preserve">ivate </w:t>
      </w:r>
      <w:r w:rsidR="00232D8C">
        <w:rPr>
          <w:bCs/>
          <w:lang w:val="en-US"/>
        </w:rPr>
        <w:t>companies</w:t>
      </w:r>
      <w:r w:rsidR="006014C6">
        <w:rPr>
          <w:bCs/>
          <w:lang w:val="en-US"/>
        </w:rPr>
        <w:t>.</w:t>
      </w:r>
      <w:r w:rsidR="00232D8C">
        <w:rPr>
          <w:bCs/>
          <w:lang w:val="en-US"/>
        </w:rPr>
        <w:t xml:space="preserve"> </w:t>
      </w:r>
      <w:r w:rsidRPr="00123F03">
        <w:rPr>
          <w:bCs/>
          <w:lang w:val="en-US"/>
        </w:rPr>
        <w:t xml:space="preserve">Household income from transfer payments </w:t>
      </w:r>
      <w:r w:rsidR="00232D8C">
        <w:rPr>
          <w:bCs/>
          <w:lang w:val="en-US"/>
        </w:rPr>
        <w:t>grew by 8.2</w:t>
      </w:r>
      <w:r w:rsidRPr="00123F03">
        <w:rPr>
          <w:bCs/>
          <w:lang w:val="en-US"/>
        </w:rPr>
        <w:t>%. Total money and in-kind revenue from domestic production an</w:t>
      </w:r>
      <w:r w:rsidR="00232D8C">
        <w:rPr>
          <w:bCs/>
          <w:lang w:val="en-US"/>
        </w:rPr>
        <w:t xml:space="preserve">d informal economy </w:t>
      </w:r>
      <w:r w:rsidR="004D1BB3">
        <w:rPr>
          <w:bCs/>
          <w:lang w:val="en-US"/>
        </w:rPr>
        <w:t xml:space="preserve">also </w:t>
      </w:r>
      <w:r w:rsidR="00232D8C">
        <w:rPr>
          <w:bCs/>
          <w:lang w:val="en-US"/>
        </w:rPr>
        <w:t>showed a 10.1</w:t>
      </w:r>
      <w:r w:rsidRPr="00123F03">
        <w:rPr>
          <w:bCs/>
          <w:lang w:val="en-US"/>
        </w:rPr>
        <w:t xml:space="preserve">-percent </w:t>
      </w:r>
      <w:r w:rsidR="00232D8C">
        <w:rPr>
          <w:bCs/>
          <w:lang w:val="en-US"/>
        </w:rPr>
        <w:t xml:space="preserve">increase, while </w:t>
      </w:r>
      <w:r w:rsidRPr="00123F03">
        <w:rPr>
          <w:bCs/>
          <w:lang w:val="en-US"/>
        </w:rPr>
        <w:t>income from charity and help of relatives</w:t>
      </w:r>
      <w:r w:rsidR="00232D8C">
        <w:rPr>
          <w:bCs/>
          <w:lang w:val="en-US"/>
        </w:rPr>
        <w:t xml:space="preserve"> fell by 2</w:t>
      </w:r>
      <w:r w:rsidRPr="00123F03">
        <w:rPr>
          <w:bCs/>
          <w:lang w:val="en-US"/>
        </w:rPr>
        <w:t>.5%.</w:t>
      </w:r>
    </w:p>
    <w:p w:rsidR="003F2C11" w:rsidRDefault="003F2C11" w:rsidP="004D1BB3">
      <w:pPr>
        <w:pStyle w:val="a9"/>
        <w:spacing w:line="36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he share of work-related income </w:t>
      </w:r>
      <w:r w:rsidR="004D1BB3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declined by 2.6 per cent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and accounted for </w:t>
      </w:r>
      <w:r w:rsidR="004D1BB3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45.1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% of total 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household income</w:t>
      </w:r>
      <w:r w:rsidR="004D1BB3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. Meanwhile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, the share of transfer payments reached an ever high</w:t>
      </w:r>
      <w:r w:rsidR="008870C1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risin</w:t>
      </w:r>
      <w:r w:rsidR="004D1BB3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g from 40.1% in 2014 to 42.1% in 2015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. The proportion of the household income related to domestic production </w:t>
      </w:r>
      <w:r w:rsidR="004D1BB3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increased from </w:t>
      </w:r>
      <w:r w:rsidR="004D1BB3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4D1BB3" w:rsidRPr="004D1BB3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9D4A2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D1BB3">
        <w:rPr>
          <w:rFonts w:ascii="Times New Roman" w:hAnsi="Times New Roman" w:cs="Times New Roman"/>
          <w:sz w:val="24"/>
          <w:szCs w:val="24"/>
          <w:lang w:val="en-US"/>
        </w:rPr>
        <w:t xml:space="preserve"> 6.</w:t>
      </w:r>
      <w:r w:rsidR="004D1BB3" w:rsidRPr="004D1BB3">
        <w:rPr>
          <w:rFonts w:ascii="Times New Roman" w:hAnsi="Times New Roman" w:cs="Times New Roman"/>
          <w:sz w:val="24"/>
          <w:szCs w:val="24"/>
          <w:lang w:val="en-US"/>
        </w:rPr>
        <w:t>7%</w:t>
      </w:r>
      <w:r w:rsidR="004D1BB3">
        <w:rPr>
          <w:rFonts w:ascii="Times New Roman" w:hAnsi="Times New Roman" w:cs="Times New Roman"/>
          <w:sz w:val="24"/>
          <w:szCs w:val="24"/>
          <w:lang w:val="en-US"/>
        </w:rPr>
        <w:t xml:space="preserve"> and the share of charitable donations remained stable at 5.3%.</w:t>
      </w:r>
    </w:p>
    <w:p w:rsidR="00DD2E89" w:rsidRDefault="0031453F" w:rsidP="0031453F">
      <w:pPr>
        <w:pStyle w:val="a9"/>
        <w:spacing w:line="360" w:lineRule="auto"/>
        <w:ind w:left="737"/>
        <w:jc w:val="both"/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lastRenderedPageBreak/>
        <w:t>The income inequality decreased since the income of households</w:t>
      </w:r>
      <w:r w:rsidR="004D1BB3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in three bottom income quintile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s</w:t>
      </w:r>
      <w:r w:rsidR="004D1BB3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experienced a slight rise, while 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the income of two upper </w:t>
      </w:r>
      <w:r w:rsidR="004D1BB3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quintiles showed a </w:t>
      </w:r>
      <w:r w:rsidR="00DD2E89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continuous </w:t>
      </w:r>
      <w:r w:rsidR="004D1BB3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downward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trend. Households in the richest quintile had 2.8 times more income than households in the poorest quintile, which was a bit lower compared to </w:t>
      </w:r>
      <w:r w:rsidR="009D0889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a </w:t>
      </w:r>
      <w:r w:rsidR="00DD2E89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three</w:t>
      </w:r>
      <w:r w:rsidR="009D0889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-fold advantage the upper quintile enjoyed in 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2014.</w:t>
      </w:r>
      <w:r w:rsidR="00DD2E89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The share of work-related income fell </w:t>
      </w:r>
      <w:r w:rsidR="00980B2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both </w:t>
      </w:r>
      <w:r w:rsidR="00DD2E89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in affluent and deprived households. The share of transfer payments, while dropping in lower-income families, grew by 5.8% in the wealthiest 20 per cent of households.</w:t>
      </w:r>
    </w:p>
    <w:p w:rsidR="00980B2B" w:rsidRDefault="008324A0" w:rsidP="008324A0">
      <w:pPr>
        <w:pStyle w:val="a9"/>
        <w:spacing w:line="360" w:lineRule="auto"/>
        <w:ind w:left="737"/>
        <w:jc w:val="both"/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In 2015</w:t>
      </w:r>
      <w:r w:rsidR="00980B2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, household expenditures went 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down </w:t>
      </w:r>
      <w:r w:rsidR="00980B2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by 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considerable 8 </w:t>
      </w:r>
      <w:r w:rsidR="00980B2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per cent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, which was in stark contrast to their stagnation in 2014. </w:t>
      </w:r>
      <w:r w:rsidR="00317F9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Although f</w:t>
      </w:r>
      <w:r w:rsidR="00980B2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ood expenditures rose by 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2%, </w:t>
      </w:r>
      <w:r w:rsidR="00980B2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non-food expenditures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plunged by 12%</w:t>
      </w:r>
      <w:r w:rsidR="00980B2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. 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This disrupted a long-term trend </w:t>
      </w:r>
      <w:r w:rsidR="00F72B9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towards </w:t>
      </w:r>
      <w:r w:rsidR="007759F6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the </w:t>
      </w:r>
      <w:r w:rsidR="00A51434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spending </w:t>
      </w:r>
      <w:r w:rsidR="00F72B9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p</w:t>
      </w:r>
      <w:r w:rsidR="007759F6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attern</w:t>
      </w:r>
      <w:r w:rsidR="00F72B9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with a significantly greater proportion of non-food expenditures 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as the share of </w:t>
      </w:r>
      <w:r w:rsidR="00A51434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money spent on 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food </w:t>
      </w:r>
      <w:r w:rsidR="00F72B9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increase</w:t>
      </w:r>
      <w:r w:rsidR="00F4341E" w:rsidRPr="00F4341E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d</w:t>
      </w:r>
      <w:r w:rsidR="00F72B9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from 39.1% in 2014 to 41.5% in 2015. </w:t>
      </w:r>
      <w:r w:rsidR="00317F9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It is noteworthy that t</w:t>
      </w:r>
      <w:r w:rsidR="00A51434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he rise of food expenditures </w:t>
      </w:r>
      <w:r w:rsidR="00317F9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largely </w:t>
      </w:r>
      <w:r w:rsidR="00A51434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affected h</w:t>
      </w:r>
      <w:r w:rsidR="00980B2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ouseholds in the </w:t>
      </w:r>
      <w:r w:rsidR="00A51434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upper </w:t>
      </w:r>
      <w:r w:rsidR="00980B2B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income quintile</w:t>
      </w:r>
      <w:r w:rsidR="00A51434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. </w:t>
      </w:r>
    </w:p>
    <w:p w:rsidR="004122F1" w:rsidRPr="004122F1" w:rsidRDefault="004122F1" w:rsidP="004122F1">
      <w:pPr>
        <w:pStyle w:val="a9"/>
        <w:spacing w:line="360" w:lineRule="auto"/>
        <w:ind w:left="737"/>
        <w:jc w:val="both"/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Despite a significant decline in non-food expenditures, the household possession of consumer durables increased. Compared to 2014, the percentage of household</w:t>
      </w:r>
      <w:r w:rsidR="007B115F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with a «No Frost» refrigerator rose from </w:t>
      </w:r>
      <w:r>
        <w:rPr>
          <w:rFonts w:ascii="Times New Roman" w:hAnsi="Times New Roman" w:cs="Times New Roman"/>
          <w:sz w:val="24"/>
          <w:szCs w:val="24"/>
          <w:lang w:val="en-US"/>
        </w:rPr>
        <w:t>57.</w:t>
      </w:r>
      <w:r w:rsidRPr="004122F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7B115F" w:rsidRPr="007B115F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60.</w:t>
      </w:r>
      <w:r w:rsidRPr="004122F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with a washing-</w:t>
      </w:r>
      <w:r w:rsidRPr="004122F1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machine </w:t>
      </w:r>
      <w:r w:rsidRPr="004122F1">
        <w:rPr>
          <w:rFonts w:ascii="Times New Roman" w:hAnsi="Times New Roman" w:cs="Times New Roman"/>
          <w:sz w:val="24"/>
          <w:szCs w:val="24"/>
          <w:lang w:val="en-US"/>
        </w:rPr>
        <w:t>— from</w:t>
      </w:r>
      <w:r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79.</w:t>
      </w:r>
      <w:r w:rsidRPr="004122F1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7B115F" w:rsidRPr="007B115F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80.</w:t>
      </w:r>
      <w:r w:rsidRPr="004122F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%. However, 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the percentage of households reported to buy a new car or have a personal computer stagnated</w:t>
      </w:r>
      <w:r w:rsidR="00554EE4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with a respective negligible increase </w:t>
      </w:r>
      <w:r w:rsidR="005229C8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of 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0.1 and 0.4%.</w:t>
      </w:r>
    </w:p>
    <w:p w:rsidR="00CC2DB5" w:rsidRDefault="00CC2DB5" w:rsidP="00CC2DB5">
      <w:pPr>
        <w:pStyle w:val="a9"/>
        <w:spacing w:line="36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The general unemployment rate grew from 4.8% in 2014 to 5.5% in 2015</w:t>
      </w:r>
      <w:r w:rsidR="009A38AE" w:rsidRPr="009A38AE"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with the official unemployment rate climbing from </w:t>
      </w: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CC2DB5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en-US"/>
        </w:rPr>
        <w:t>to 5.</w:t>
      </w:r>
      <w:r w:rsidRPr="00CC2DB5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in male population and from </w:t>
      </w: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CC2DB5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7B115F" w:rsidRPr="007B115F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5.</w:t>
      </w:r>
      <w:r w:rsidRPr="00CC2DB5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% in females. The male participation in the workforce went up from 84.</w:t>
      </w:r>
      <w:r w:rsidRPr="00CC2DB5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US"/>
        </w:rPr>
        <w:t>to 85.</w:t>
      </w:r>
      <w:r w:rsidRPr="00CC2DB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%, while</w:t>
      </w:r>
      <w:r w:rsidR="0088372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female participation scaled back slightly, from 80.</w:t>
      </w:r>
      <w:r w:rsidRPr="00CC2DB5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C2DB5">
        <w:rPr>
          <w:rFonts w:ascii="Times New Roman" w:hAnsi="Times New Roman" w:cs="Times New Roman"/>
          <w:sz w:val="24"/>
          <w:szCs w:val="24"/>
          <w:lang w:val="en-US"/>
        </w:rPr>
        <w:t xml:space="preserve"> 79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%. The numbers of male workers also </w:t>
      </w:r>
      <w:r w:rsidR="006905AB">
        <w:rPr>
          <w:rFonts w:ascii="Times New Roman" w:hAnsi="Times New Roman" w:cs="Times New Roman"/>
          <w:sz w:val="24"/>
          <w:szCs w:val="24"/>
          <w:lang w:val="en-US"/>
        </w:rPr>
        <w:t>continued to outstrip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numbers of females in private and </w:t>
      </w:r>
      <w:r w:rsidR="006905AB">
        <w:rPr>
          <w:rFonts w:ascii="Times New Roman" w:hAnsi="Times New Roman" w:cs="Times New Roman"/>
          <w:sz w:val="24"/>
          <w:szCs w:val="24"/>
          <w:lang w:val="en-US"/>
        </w:rPr>
        <w:t>public</w:t>
      </w:r>
      <w:r>
        <w:rPr>
          <w:rFonts w:ascii="Times New Roman" w:hAnsi="Times New Roman" w:cs="Times New Roman"/>
          <w:sz w:val="24"/>
          <w:szCs w:val="24"/>
          <w:lang w:val="en-US"/>
        </w:rPr>
        <w:t>-private companies by 8 per cent in 2014 (39.4</w:t>
      </w:r>
      <w:r w:rsidRPr="00CC2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against 31.</w:t>
      </w:r>
      <w:r w:rsidRPr="00CC2DB5">
        <w:rPr>
          <w:rFonts w:ascii="Times New Roman" w:hAnsi="Times New Roman" w:cs="Times New Roman"/>
          <w:sz w:val="24"/>
          <w:szCs w:val="24"/>
          <w:lang w:val="en-US"/>
        </w:rPr>
        <w:t xml:space="preserve">4%)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by </w:t>
      </w:r>
      <w:r w:rsidRPr="00CC2DB5">
        <w:rPr>
          <w:rFonts w:ascii="Times New Roman" w:hAnsi="Times New Roman" w:cs="Times New Roman"/>
          <w:sz w:val="24"/>
          <w:szCs w:val="24"/>
          <w:lang w:val="en-US"/>
        </w:rPr>
        <w:t xml:space="preserve">10%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CC2DB5">
        <w:rPr>
          <w:rFonts w:ascii="Times New Roman" w:hAnsi="Times New Roman" w:cs="Times New Roman"/>
          <w:sz w:val="24"/>
          <w:szCs w:val="24"/>
          <w:lang w:val="en-US"/>
        </w:rPr>
        <w:t>2015 (42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against </w:t>
      </w:r>
      <w:r w:rsidRPr="00CC2DB5">
        <w:rPr>
          <w:rFonts w:ascii="Times New Roman" w:hAnsi="Times New Roman" w:cs="Times New Roman"/>
          <w:sz w:val="24"/>
          <w:szCs w:val="24"/>
          <w:lang w:val="en-US"/>
        </w:rPr>
        <w:t>32%).</w:t>
      </w:r>
    </w:p>
    <w:p w:rsidR="00523DB7" w:rsidRDefault="006905AB" w:rsidP="00523DB7">
      <w:pPr>
        <w:pStyle w:val="a9"/>
        <w:spacing w:line="36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;宋体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In 2015, women earned </w:t>
      </w:r>
      <w:r w:rsidRPr="006905AB">
        <w:rPr>
          <w:rFonts w:ascii="Times New Roman" w:hAnsi="Times New Roman" w:cs="Times New Roman"/>
          <w:sz w:val="24"/>
          <w:szCs w:val="24"/>
          <w:lang w:val="en-US"/>
        </w:rPr>
        <w:t>74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.1% of male 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work-related income, which </w:t>
      </w:r>
      <w:r w:rsidR="006D73D6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shows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a gentle increase in comparison to </w:t>
      </w:r>
      <w:r>
        <w:rPr>
          <w:rFonts w:ascii="Times New Roman" w:hAnsi="Times New Roman" w:cs="Times New Roman"/>
          <w:sz w:val="24"/>
          <w:szCs w:val="24"/>
          <w:lang w:val="en-US"/>
        </w:rPr>
        <w:t>72.</w:t>
      </w:r>
      <w:r w:rsidRPr="006905A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in 2014. 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The gender gap in earnings </w:t>
      </w:r>
      <w:r w:rsidR="00D45158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amounted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 w:rsidR="000C1AD0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to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74% </w:t>
      </w:r>
      <w:r w:rsidR="006D73D6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private and public-private companies and </w:t>
      </w:r>
      <w:r w:rsidR="00CA765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76% in public sector. </w:t>
      </w:r>
      <w:r w:rsidR="00DB1295">
        <w:rPr>
          <w:rFonts w:ascii="Times New Roman" w:hAnsi="Times New Roman" w:cs="Times New Roman"/>
          <w:sz w:val="24"/>
          <w:szCs w:val="24"/>
          <w:lang w:val="en-US"/>
        </w:rPr>
        <w:t>However, w</w:t>
      </w:r>
      <w:r w:rsidR="006D73D6">
        <w:rPr>
          <w:rFonts w:ascii="Times New Roman" w:hAnsi="Times New Roman" w:cs="Times New Roman"/>
          <w:sz w:val="24"/>
          <w:szCs w:val="24"/>
          <w:lang w:val="en-US"/>
        </w:rPr>
        <w:t xml:space="preserve">hen it came to cash-in-hand jobs, </w:t>
      </w:r>
      <w:r w:rsidR="00DB1295">
        <w:rPr>
          <w:rFonts w:ascii="Times New Roman" w:hAnsi="Times New Roman" w:cs="Times New Roman"/>
          <w:sz w:val="24"/>
          <w:szCs w:val="24"/>
          <w:lang w:val="en-US"/>
        </w:rPr>
        <w:t xml:space="preserve">largely </w:t>
      </w:r>
      <w:r w:rsidR="006D73D6">
        <w:rPr>
          <w:rFonts w:ascii="Times New Roman" w:hAnsi="Times New Roman" w:cs="Times New Roman"/>
          <w:sz w:val="24"/>
          <w:szCs w:val="24"/>
          <w:lang w:val="en-US"/>
        </w:rPr>
        <w:t xml:space="preserve">dominated by female workers, the </w:t>
      </w:r>
      <w:r w:rsidR="006D73D6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gender </w:t>
      </w:r>
      <w:r w:rsidR="006D73D6">
        <w:rPr>
          <w:rFonts w:ascii="Times New Roman" w:hAnsi="Times New Roman" w:cs="Times New Roman"/>
          <w:sz w:val="24"/>
          <w:szCs w:val="24"/>
          <w:lang w:val="en-US"/>
        </w:rPr>
        <w:t xml:space="preserve">gap widened as women </w:t>
      </w:r>
      <w:r w:rsidR="000F57C6">
        <w:rPr>
          <w:rFonts w:ascii="Times New Roman" w:hAnsi="Times New Roman" w:cs="Times New Roman"/>
          <w:sz w:val="24"/>
          <w:szCs w:val="24"/>
          <w:lang w:val="en-US"/>
        </w:rPr>
        <w:t xml:space="preserve">earned </w:t>
      </w:r>
      <w:r w:rsidR="006D73D6">
        <w:rPr>
          <w:rFonts w:ascii="Times New Roman" w:hAnsi="Times New Roman" w:cs="Times New Roman"/>
          <w:sz w:val="24"/>
          <w:szCs w:val="24"/>
          <w:lang w:val="en-US"/>
        </w:rPr>
        <w:t xml:space="preserve">only 55% of their male co-workers. </w:t>
      </w:r>
    </w:p>
    <w:p w:rsidR="00D45158" w:rsidRDefault="00D45158" w:rsidP="00523DB7">
      <w:pPr>
        <w:pStyle w:val="a9"/>
        <w:spacing w:line="36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proportion of employees </w:t>
      </w:r>
      <w:r w:rsidR="00926C3E">
        <w:rPr>
          <w:rFonts w:ascii="Times New Roman" w:hAnsi="Times New Roman" w:cs="Times New Roman"/>
          <w:sz w:val="24"/>
          <w:szCs w:val="24"/>
          <w:lang w:val="en-US"/>
        </w:rPr>
        <w:t xml:space="preserve">who were to receive back pay </w:t>
      </w:r>
      <w:r>
        <w:rPr>
          <w:rFonts w:ascii="Times New Roman" w:hAnsi="Times New Roman" w:cs="Times New Roman"/>
          <w:sz w:val="24"/>
          <w:szCs w:val="24"/>
          <w:lang w:val="en-US"/>
        </w:rPr>
        <w:t>grew from 2.5% in 2014 to 2.8% in 2015.</w:t>
      </w:r>
      <w:r w:rsidR="00523DB7">
        <w:rPr>
          <w:rFonts w:ascii="Times New Roman" w:hAnsi="Times New Roman" w:cs="Times New Roman"/>
          <w:sz w:val="24"/>
          <w:szCs w:val="24"/>
          <w:lang w:val="en-US"/>
        </w:rPr>
        <w:t xml:space="preserve"> In general, these workers</w:t>
      </w:r>
      <w:r w:rsidR="00F73BCE">
        <w:rPr>
          <w:rFonts w:ascii="Times New Roman" w:hAnsi="Times New Roman" w:cs="Times New Roman"/>
          <w:sz w:val="24"/>
          <w:szCs w:val="24"/>
          <w:lang w:val="en-US"/>
        </w:rPr>
        <w:t xml:space="preserve"> waited for </w:t>
      </w:r>
      <w:r w:rsidR="005C5DF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3BCE">
        <w:rPr>
          <w:rFonts w:ascii="Times New Roman" w:hAnsi="Times New Roman" w:cs="Times New Roman"/>
          <w:sz w:val="24"/>
          <w:szCs w:val="24"/>
          <w:lang w:val="en-US"/>
        </w:rPr>
        <w:t xml:space="preserve"> payment for a month or less</w:t>
      </w:r>
      <w:r w:rsidR="00523DB7">
        <w:rPr>
          <w:rFonts w:ascii="Times New Roman" w:hAnsi="Times New Roman" w:cs="Times New Roman"/>
          <w:sz w:val="24"/>
          <w:szCs w:val="24"/>
          <w:lang w:val="en-US"/>
        </w:rPr>
        <w:t xml:space="preserve">, however, an average amount of money </w:t>
      </w:r>
      <w:r w:rsidR="006C15A2">
        <w:rPr>
          <w:rFonts w:ascii="Times New Roman" w:hAnsi="Times New Roman" w:cs="Times New Roman"/>
          <w:sz w:val="24"/>
          <w:szCs w:val="24"/>
          <w:lang w:val="en-US"/>
        </w:rPr>
        <w:t>due in back pay increased by 10.</w:t>
      </w:r>
      <w:r w:rsidR="00523DB7">
        <w:rPr>
          <w:rFonts w:ascii="Times New Roman" w:hAnsi="Times New Roman" w:cs="Times New Roman"/>
          <w:sz w:val="24"/>
          <w:szCs w:val="24"/>
          <w:lang w:val="en-US"/>
        </w:rPr>
        <w:t xml:space="preserve">5% </w:t>
      </w:r>
      <w:r w:rsidR="005C5DF3">
        <w:rPr>
          <w:rFonts w:ascii="Times New Roman" w:hAnsi="Times New Roman" w:cs="Times New Roman"/>
          <w:sz w:val="24"/>
          <w:szCs w:val="24"/>
          <w:lang w:val="en-US"/>
        </w:rPr>
        <w:t>compared to 2014</w:t>
      </w:r>
      <w:r w:rsidR="00F73B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C5DF3" w:rsidRDefault="00523DB7" w:rsidP="005C5DF3">
      <w:pPr>
        <w:pStyle w:val="a9"/>
        <w:spacing w:line="36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share of households struggling to pay rent and/or utility bills continued to grow</w:t>
      </w:r>
      <w:r w:rsidR="006C15A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AA784D">
        <w:rPr>
          <w:rFonts w:ascii="Times New Roman" w:hAnsi="Times New Roman" w:cs="Times New Roman"/>
          <w:sz w:val="24"/>
          <w:szCs w:val="24"/>
          <w:lang w:val="en-US"/>
        </w:rPr>
        <w:t>8.4% of families failing to foot the bill in 2015.  An average amount of money due went up by 5.4% compared to 2014</w:t>
      </w:r>
      <w:r w:rsidR="005F38C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784D">
        <w:rPr>
          <w:rFonts w:ascii="Times New Roman" w:hAnsi="Times New Roman" w:cs="Times New Roman"/>
          <w:sz w:val="24"/>
          <w:szCs w:val="24"/>
          <w:lang w:val="en-US"/>
        </w:rPr>
        <w:t xml:space="preserve"> while increasing almost four times compared to 1998. </w:t>
      </w:r>
    </w:p>
    <w:p w:rsidR="009A0C5E" w:rsidRDefault="009A0C5E" w:rsidP="009A0C5E">
      <w:pPr>
        <w:pStyle w:val="a9"/>
        <w:spacing w:line="36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he proportion of those generally satisfied with their life fell from </w:t>
      </w:r>
      <w:r>
        <w:rPr>
          <w:rFonts w:ascii="Times New Roman" w:hAnsi="Times New Roman" w:cs="Times New Roman"/>
          <w:sz w:val="24"/>
          <w:szCs w:val="24"/>
          <w:lang w:val="en-US"/>
        </w:rPr>
        <w:t>51.</w:t>
      </w:r>
      <w:r w:rsidRPr="009A0C5E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9A0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2014 to</w:t>
      </w:r>
      <w:r w:rsidRPr="009A0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49.</w:t>
      </w:r>
      <w:r w:rsidRPr="009A0C5E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in 2015, while 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the share of those unsatisfied rose from 25 to 26.4%. The level of income satisfaction also went down as 31.8% of respondents appeared anxious about their future economic well-being, which constitutes a significant increase compared to 23% in 2014. On the contrary, the share of economic optimists dropped from 20.4% in 2014 to 16% in 2015. However, the general outlook became just slightly grimmer. </w:t>
      </w:r>
    </w:p>
    <w:p w:rsidR="003243AF" w:rsidRDefault="009A0C5E" w:rsidP="009A0C5E">
      <w:pPr>
        <w:pStyle w:val="a9"/>
        <w:spacing w:line="360" w:lineRule="auto"/>
        <w:ind w:left="737"/>
        <w:jc w:val="both"/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The number of people considering unemployment a serious threat to their economic well-being rose considerably</w:t>
      </w:r>
      <w:r w:rsidR="00BE0CC3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, from 55.5% in 2014 to 64.3% in 2015. In 2015, only 23.1% of respondent</w:t>
      </w:r>
      <w:r w:rsidR="000852CE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s</w:t>
      </w:r>
      <w:r w:rsidR="00BE0CC3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felt that their jobs were completely secure. T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he share of working-age fully-employed respondents, who felt </w:t>
      </w:r>
      <w:r w:rsidR="00BE0CC3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confident 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about finding a new job, decreased from </w:t>
      </w:r>
      <w:r w:rsidR="00BE0CC3">
        <w:rPr>
          <w:rFonts w:ascii="Times New Roman" w:hAnsi="Times New Roman" w:cs="Times New Roman"/>
          <w:sz w:val="24"/>
          <w:szCs w:val="24"/>
          <w:lang w:val="en-US"/>
        </w:rPr>
        <w:t>41.</w:t>
      </w:r>
      <w:r w:rsidR="00BE0CC3" w:rsidRPr="00BE0CC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BE0CC3">
        <w:rPr>
          <w:rFonts w:ascii="Times New Roman" w:hAnsi="Times New Roman" w:cs="Times New Roman"/>
          <w:sz w:val="24"/>
          <w:szCs w:val="24"/>
          <w:lang w:val="en-US"/>
        </w:rPr>
        <w:t>to 36.</w:t>
      </w:r>
      <w:r w:rsidR="00BE0CC3" w:rsidRPr="00BE0CC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E0CC3">
        <w:rPr>
          <w:rFonts w:ascii="Times New Roman" w:hAnsi="Times New Roman" w:cs="Times New Roman"/>
          <w:sz w:val="24"/>
          <w:szCs w:val="24"/>
          <w:lang w:val="en-US"/>
        </w:rPr>
        <w:t xml:space="preserve">%, while </w:t>
      </w:r>
      <w:r w:rsidR="00BE0CC3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the percentage of those being anxious about </w:t>
      </w:r>
      <w:r w:rsidR="007D46E4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it</w:t>
      </w:r>
      <w:r w:rsidR="00D1737E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went up from</w:t>
      </w:r>
      <w:r w:rsidR="00BE0CC3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 w:rsidR="00D1737E">
        <w:rPr>
          <w:rFonts w:ascii="Times New Roman" w:hAnsi="Times New Roman" w:cs="Times New Roman"/>
          <w:sz w:val="24"/>
          <w:szCs w:val="24"/>
          <w:lang w:val="en-US"/>
        </w:rPr>
        <w:t>40.</w:t>
      </w:r>
      <w:r w:rsidR="00D1737E" w:rsidRPr="00BE0CC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1737E">
        <w:rPr>
          <w:rFonts w:ascii="Times New Roman" w:hAnsi="Times New Roman" w:cs="Times New Roman"/>
          <w:sz w:val="24"/>
          <w:szCs w:val="24"/>
          <w:lang w:val="en-US"/>
        </w:rPr>
        <w:t xml:space="preserve"> to 44.</w:t>
      </w:r>
      <w:r w:rsidR="00BE0CC3" w:rsidRPr="00BE0CC3">
        <w:rPr>
          <w:rFonts w:ascii="Times New Roman" w:hAnsi="Times New Roman" w:cs="Times New Roman"/>
          <w:sz w:val="24"/>
          <w:szCs w:val="24"/>
          <w:lang w:val="en-US"/>
        </w:rPr>
        <w:t>2%</w:t>
      </w:r>
      <w:r w:rsidR="00D173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46E4" w:rsidRPr="007D46E4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</w:p>
    <w:p w:rsidR="00C736A5" w:rsidRDefault="007D46E4" w:rsidP="009A0C5E">
      <w:pPr>
        <w:pStyle w:val="a9"/>
        <w:spacing w:line="360" w:lineRule="auto"/>
        <w:ind w:left="737"/>
        <w:jc w:val="both"/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Layoffs and closures of enterprises became the primary reason for job </w:t>
      </w:r>
      <w:r w:rsidR="00D3109A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loss, 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with </w:t>
      </w:r>
      <w:r w:rsidR="007000A5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their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overall share </w:t>
      </w:r>
      <w:r w:rsidR="00A03640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increasing from 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14.4% in 2014 </w:t>
      </w:r>
      <w:r w:rsidR="00A03640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to 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17.7</w:t>
      </w:r>
      <w:r w:rsidR="00A03640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% in 2015</w:t>
      </w:r>
      <w:r w:rsidR="003243AF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.</w:t>
      </w:r>
      <w:r w:rsidR="00A03640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 w:rsidR="00FB2B7D" w:rsidRPr="00FB2B7D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Meanwhile, low job satisfaction as a reason for quitting a job became less significant compared to previous years</w:t>
      </w:r>
      <w:r w:rsidR="00A03640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. </w:t>
      </w:r>
    </w:p>
    <w:p w:rsidR="003243AF" w:rsidRDefault="00636FF7" w:rsidP="009A0C5E">
      <w:pPr>
        <w:pStyle w:val="a9"/>
        <w:spacing w:line="360" w:lineRule="auto"/>
        <w:ind w:left="737"/>
        <w:jc w:val="both"/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In 2015, w</w:t>
      </w:r>
      <w:r w:rsidR="00E00BA3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hile l</w:t>
      </w:r>
      <w:r w:rsidR="007000A5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ooking for a new job, respondents appeared more likely to enlist </w:t>
      </w:r>
      <w:r w:rsidR="00AA471C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the help of </w:t>
      </w:r>
      <w:r w:rsidR="007000A5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friends </w:t>
      </w:r>
      <w:r w:rsidR="00E00BA3" w:rsidRPr="00E00BA3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(</w:t>
      </w:r>
      <w:r w:rsidR="00E00BA3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86.6 </w:t>
      </w:r>
      <w:r w:rsidR="00E00BA3" w:rsidRPr="00E00BA3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%) </w:t>
      </w:r>
      <w:r w:rsidR="007000A5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or search for an offer on-line </w:t>
      </w:r>
      <w:r w:rsidR="00E00BA3" w:rsidRPr="00E00BA3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(</w:t>
      </w:r>
      <w:r w:rsidR="007000A5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52%</w:t>
      </w:r>
      <w:r w:rsidR="00E00BA3" w:rsidRPr="00E00BA3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)</w:t>
      </w:r>
      <w:r w:rsidR="007000A5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. </w:t>
      </w:r>
      <w:r w:rsidR="0061220B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In addition, 43.4% contacted companies directly </w:t>
      </w:r>
      <w:r w:rsidR="00B9154E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and 41.7% looked through job offers in printed press. State and private employment agencies also gained ground as 39.7 and 12.9% of jobseekers opted for their help. </w:t>
      </w:r>
    </w:p>
    <w:p w:rsidR="003243AF" w:rsidRPr="00CF1D6C" w:rsidRDefault="00CC192C" w:rsidP="00CF1D6C">
      <w:pPr>
        <w:pStyle w:val="a9"/>
        <w:spacing w:line="360" w:lineRule="auto"/>
        <w:ind w:left="737"/>
        <w:jc w:val="both"/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In 2015, </w:t>
      </w:r>
      <w:r w:rsidR="005E6901" w:rsidRPr="005E6901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an average income</w:t>
      </w:r>
      <w:r w:rsidR="005E6901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earned by families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with one, two, three or more </w:t>
      </w:r>
      <w:r w:rsidR="005E6901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children accounted for </w:t>
      </w:r>
      <w:r w:rsidRPr="00CC192C">
        <w:rPr>
          <w:rFonts w:ascii="Times New Roman" w:hAnsi="Times New Roman" w:cs="Times New Roman"/>
          <w:sz w:val="24"/>
          <w:szCs w:val="24"/>
          <w:lang w:val="en-US"/>
        </w:rPr>
        <w:t xml:space="preserve">79, 63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192C">
        <w:rPr>
          <w:rFonts w:ascii="Times New Roman" w:hAnsi="Times New Roman" w:cs="Times New Roman"/>
          <w:sz w:val="24"/>
          <w:szCs w:val="24"/>
          <w:lang w:val="en-US"/>
        </w:rPr>
        <w:t xml:space="preserve"> 48%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C4B35">
        <w:rPr>
          <w:rFonts w:ascii="Times New Roman" w:hAnsi="Times New Roman" w:cs="Times New Roman"/>
          <w:sz w:val="24"/>
          <w:szCs w:val="24"/>
          <w:lang w:val="en-US"/>
        </w:rPr>
        <w:t>what the</w:t>
      </w:r>
      <w:r w:rsidR="005E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households</w:t>
      </w:r>
      <w:r w:rsidR="005E6901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without minors</w:t>
      </w:r>
      <w:r w:rsidR="00BC4B35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made</w:t>
      </w:r>
      <w:r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. </w:t>
      </w:r>
      <w:r w:rsidR="005E6901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While the share of two-parent families dropped from 79.1% in 1994 to 74.8% in 2015, more and more minors appeared to live in extended families (</w:t>
      </w:r>
      <w:r w:rsidR="00992EF8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their </w:t>
      </w:r>
      <w:r w:rsidR="00BC4B35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share</w:t>
      </w:r>
      <w:r w:rsidR="00992EF8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 w:rsidR="00D3639A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rose </w:t>
      </w:r>
      <w:r w:rsidR="00992EF8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from 23.3% in 1994 to 29.3% in 2015</w:t>
      </w:r>
      <w:r w:rsidR="005E6901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).</w:t>
      </w:r>
      <w:r w:rsidR="00992EF8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During the period, the proportion of households with three or more children </w:t>
      </w:r>
      <w:r w:rsidR="00D3639A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increased</w:t>
      </w:r>
      <w:r w:rsidR="00992EF8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, </w:t>
      </w:r>
      <w:r w:rsidR="00D3639A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however, </w:t>
      </w:r>
      <w:r w:rsidR="00992EF8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so </w:t>
      </w:r>
      <w:r w:rsidR="00D3639A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did </w:t>
      </w:r>
      <w:r w:rsidR="00992EF8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the share of families with </w:t>
      </w:r>
      <w:r w:rsidR="00575FB5" w:rsidRPr="00575FB5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an</w:t>
      </w:r>
      <w:r w:rsidR="00992EF8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only child. Although </w:t>
      </w:r>
      <w:r w:rsidR="00464B75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since 1994 </w:t>
      </w:r>
      <w:r w:rsidR="00D3639A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parents got more educated, more than a half of minors were born to parents without an academic degree in 2015. </w:t>
      </w:r>
      <w:r w:rsidR="00EF0F14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While t</w:t>
      </w:r>
      <w:r w:rsidR="00BC4B35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he education of parents, along with the level of urbanization, household income and the total number of children, considerably affected </w:t>
      </w:r>
      <w:r w:rsidR="00464B75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lastRenderedPageBreak/>
        <w:t xml:space="preserve">the quality of schooling and extra-curricular </w:t>
      </w:r>
      <w:r w:rsidR="00EF0F14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activities,</w:t>
      </w:r>
      <w:r w:rsidR="00464B75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it might also have an impact on diagnosing and preventing chronic diseases </w:t>
      </w:r>
      <w:r w:rsidR="00CF1D6C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in children</w:t>
      </w:r>
      <w:r w:rsidR="00EF0F14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and teenagers</w:t>
      </w:r>
      <w:r w:rsidR="00CF1D6C">
        <w:rPr>
          <w:rFonts w:ascii="Times New Roman" w:eastAsia="SimSun;宋体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. </w:t>
      </w:r>
    </w:p>
    <w:p w:rsidR="002A4042" w:rsidRDefault="002A4042" w:rsidP="002A4042">
      <w:pPr>
        <w:pStyle w:val="a3"/>
        <w:numPr>
          <w:ilvl w:val="0"/>
          <w:numId w:val="1"/>
        </w:numPr>
        <w:spacing w:before="0" w:beforeAutospacing="0" w:after="240" w:afterAutospacing="0"/>
        <w:rPr>
          <w:b/>
          <w:bCs/>
          <w:lang w:val="en-US"/>
        </w:rPr>
      </w:pPr>
      <w:r w:rsidRPr="00530A6C">
        <w:rPr>
          <w:b/>
          <w:bCs/>
          <w:lang w:val="en-US"/>
        </w:rPr>
        <w:t xml:space="preserve">Level of implementation,  recommendations on implementation or outcomes of the implementation of the results </w:t>
      </w:r>
    </w:p>
    <w:p w:rsidR="00C736A5" w:rsidRPr="009546D5" w:rsidRDefault="00C736A5" w:rsidP="00C736A5">
      <w:pPr>
        <w:pStyle w:val="a3"/>
        <w:spacing w:before="0" w:after="0" w:line="360" w:lineRule="auto"/>
        <w:ind w:left="720"/>
        <w:jc w:val="both"/>
        <w:rPr>
          <w:lang w:val="en-US"/>
        </w:rPr>
      </w:pPr>
      <w:r>
        <w:rPr>
          <w:lang w:val="en-US"/>
        </w:rPr>
        <w:t xml:space="preserve">The database “Russia Longitudinal Monitoring Survey of HSE” (RLMS–HSE), 1994–2015 rounds </w:t>
      </w:r>
      <w:r w:rsidR="00FC2C95" w:rsidRPr="00FC2C95">
        <w:rPr>
          <w:lang w:val="en-US"/>
        </w:rPr>
        <w:t>(</w:t>
      </w:r>
      <w:r w:rsidR="00FC2C95">
        <w:rPr>
          <w:lang w:val="en-US"/>
        </w:rPr>
        <w:t>Russian and English versions</w:t>
      </w:r>
      <w:r w:rsidR="00FC2C95" w:rsidRPr="00FC2C95">
        <w:rPr>
          <w:lang w:val="en-US"/>
        </w:rPr>
        <w:t>)</w:t>
      </w:r>
      <w:r w:rsidR="00FC2C95">
        <w:rPr>
          <w:lang w:val="en-US"/>
        </w:rPr>
        <w:t xml:space="preserve"> </w:t>
      </w:r>
      <w:r>
        <w:rPr>
          <w:lang w:val="en-US"/>
        </w:rPr>
        <w:t xml:space="preserve">with documentation in Russian and English, is publicly available at http://www.hse.ru/rlms. </w:t>
      </w:r>
      <w:bookmarkStart w:id="0" w:name="_GoBack"/>
      <w:bookmarkEnd w:id="0"/>
      <w:r w:rsidR="00C211E0">
        <w:rPr>
          <w:shd w:val="clear" w:color="auto" w:fill="FFFFFF"/>
          <w:lang w:val="en-US"/>
        </w:rPr>
        <w:t>In 2016</w:t>
      </w:r>
      <w:r>
        <w:rPr>
          <w:shd w:val="clear" w:color="auto" w:fill="FFFFFF"/>
          <w:lang w:val="en-US"/>
        </w:rPr>
        <w:t xml:space="preserve">, </w:t>
      </w:r>
      <w:r w:rsidR="00FC2C95" w:rsidRPr="00FC2C95">
        <w:rPr>
          <w:shd w:val="clear" w:color="auto" w:fill="FFFFFF"/>
          <w:lang w:val="en-US"/>
        </w:rPr>
        <w:t>3</w:t>
      </w:r>
      <w:r>
        <w:rPr>
          <w:shd w:val="clear" w:color="auto" w:fill="FFFFFF"/>
          <w:lang w:val="en-US"/>
        </w:rPr>
        <w:t xml:space="preserve">0 papers in Russian and English </w:t>
      </w:r>
      <w:r w:rsidR="00FC2C95">
        <w:rPr>
          <w:shd w:val="clear" w:color="auto" w:fill="FFFFFF"/>
          <w:lang w:val="en-US"/>
        </w:rPr>
        <w:t xml:space="preserve">were </w:t>
      </w:r>
      <w:r>
        <w:rPr>
          <w:shd w:val="clear" w:color="auto" w:fill="FFFFFF"/>
          <w:lang w:val="en-US"/>
        </w:rPr>
        <w:t>published using the RLMS-HSE database</w:t>
      </w:r>
      <w:r w:rsidRPr="00C736A5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(the full list of publications is available at </w:t>
      </w:r>
      <w:r>
        <w:rPr>
          <w:color w:val="000000"/>
          <w:shd w:val="clear" w:color="auto" w:fill="FFFFFF"/>
          <w:lang w:val="en-US" w:eastAsia="en-US"/>
        </w:rPr>
        <w:t>http://www.hse.ru/rlms/2016</w:t>
      </w:r>
      <w:r>
        <w:rPr>
          <w:shd w:val="clear" w:color="auto" w:fill="FFFFFF"/>
          <w:lang w:val="en-US"/>
        </w:rPr>
        <w:t xml:space="preserve">). </w:t>
      </w:r>
    </w:p>
    <w:p w:rsidR="00C736A5" w:rsidRPr="00530A6C" w:rsidRDefault="00C736A5" w:rsidP="00C736A5">
      <w:pPr>
        <w:pStyle w:val="a3"/>
        <w:spacing w:before="0" w:beforeAutospacing="0" w:after="240" w:afterAutospacing="0"/>
        <w:ind w:left="720"/>
        <w:rPr>
          <w:b/>
          <w:bCs/>
          <w:lang w:val="en-US"/>
        </w:rPr>
      </w:pPr>
    </w:p>
    <w:p w:rsidR="00A07A88" w:rsidRPr="002A4042" w:rsidRDefault="00A07A88" w:rsidP="00485D8B">
      <w:pPr>
        <w:pStyle w:val="a3"/>
        <w:spacing w:before="0" w:beforeAutospacing="0" w:after="0" w:afterAutospacing="0" w:line="360" w:lineRule="auto"/>
        <w:rPr>
          <w:lang w:val="en-US"/>
        </w:rPr>
      </w:pPr>
    </w:p>
    <w:p w:rsidR="00400074" w:rsidRPr="003E069E" w:rsidRDefault="00400074" w:rsidP="00400074">
      <w:pPr>
        <w:pStyle w:val="a3"/>
        <w:rPr>
          <w:lang w:val="en-US"/>
        </w:rPr>
      </w:pPr>
    </w:p>
    <w:p w:rsidR="002A61EB" w:rsidRPr="003E069E" w:rsidRDefault="002A61EB">
      <w:pPr>
        <w:rPr>
          <w:lang w:val="en-US"/>
        </w:rPr>
      </w:pPr>
    </w:p>
    <w:sectPr w:rsidR="002A61EB" w:rsidRPr="003E069E" w:rsidSect="00C630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43" w:rsidRDefault="00391D43" w:rsidP="00807D2B">
      <w:pPr>
        <w:spacing w:after="0" w:line="240" w:lineRule="auto"/>
      </w:pPr>
      <w:r>
        <w:separator/>
      </w:r>
    </w:p>
  </w:endnote>
  <w:endnote w:type="continuationSeparator" w:id="0">
    <w:p w:rsidR="00391D43" w:rsidRDefault="00391D43" w:rsidP="0080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43" w:rsidRDefault="00391D43" w:rsidP="00807D2B">
      <w:pPr>
        <w:spacing w:after="0" w:line="240" w:lineRule="auto"/>
      </w:pPr>
      <w:r>
        <w:separator/>
      </w:r>
    </w:p>
  </w:footnote>
  <w:footnote w:type="continuationSeparator" w:id="0">
    <w:p w:rsidR="00391D43" w:rsidRDefault="00391D43" w:rsidP="0080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2B" w:rsidRPr="00807D2B" w:rsidRDefault="00807D2B" w:rsidP="00807D2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7D4"/>
    <w:multiLevelType w:val="hybridMultilevel"/>
    <w:tmpl w:val="E1BEC762"/>
    <w:lvl w:ilvl="0" w:tplc="6D4C5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B020A"/>
    <w:multiLevelType w:val="hybridMultilevel"/>
    <w:tmpl w:val="C986BBF0"/>
    <w:lvl w:ilvl="0" w:tplc="6D4C5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30BC2"/>
    <w:multiLevelType w:val="multilevel"/>
    <w:tmpl w:val="A1C0B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E7A57"/>
    <w:multiLevelType w:val="hybridMultilevel"/>
    <w:tmpl w:val="30A0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55F85"/>
    <w:multiLevelType w:val="hybridMultilevel"/>
    <w:tmpl w:val="9950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74"/>
    <w:rsid w:val="00050241"/>
    <w:rsid w:val="00051FD1"/>
    <w:rsid w:val="000852CE"/>
    <w:rsid w:val="000A42E6"/>
    <w:rsid w:val="000B00F6"/>
    <w:rsid w:val="000B2B34"/>
    <w:rsid w:val="000C1965"/>
    <w:rsid w:val="000C1AD0"/>
    <w:rsid w:val="000D4827"/>
    <w:rsid w:val="000D75FA"/>
    <w:rsid w:val="000F57C6"/>
    <w:rsid w:val="000F7837"/>
    <w:rsid w:val="00116561"/>
    <w:rsid w:val="00117A99"/>
    <w:rsid w:val="00123F03"/>
    <w:rsid w:val="001419FD"/>
    <w:rsid w:val="001451C0"/>
    <w:rsid w:val="00167ADE"/>
    <w:rsid w:val="001748A8"/>
    <w:rsid w:val="00195123"/>
    <w:rsid w:val="001A200A"/>
    <w:rsid w:val="001B4A4C"/>
    <w:rsid w:val="001C50C1"/>
    <w:rsid w:val="001E1371"/>
    <w:rsid w:val="001E47F5"/>
    <w:rsid w:val="00221619"/>
    <w:rsid w:val="002260A9"/>
    <w:rsid w:val="0022627F"/>
    <w:rsid w:val="002312FE"/>
    <w:rsid w:val="00231405"/>
    <w:rsid w:val="00232D8C"/>
    <w:rsid w:val="0024637B"/>
    <w:rsid w:val="002519B4"/>
    <w:rsid w:val="00274360"/>
    <w:rsid w:val="00285C22"/>
    <w:rsid w:val="002A4042"/>
    <w:rsid w:val="002A61EB"/>
    <w:rsid w:val="002B333D"/>
    <w:rsid w:val="002B7C90"/>
    <w:rsid w:val="002C0240"/>
    <w:rsid w:val="002C1F8B"/>
    <w:rsid w:val="002C2057"/>
    <w:rsid w:val="002C57CA"/>
    <w:rsid w:val="002E4D71"/>
    <w:rsid w:val="003108DE"/>
    <w:rsid w:val="0031453F"/>
    <w:rsid w:val="00317F9B"/>
    <w:rsid w:val="003243AF"/>
    <w:rsid w:val="003263E3"/>
    <w:rsid w:val="00391A85"/>
    <w:rsid w:val="00391D43"/>
    <w:rsid w:val="003A3CDE"/>
    <w:rsid w:val="003C22EA"/>
    <w:rsid w:val="003C6100"/>
    <w:rsid w:val="003D01E2"/>
    <w:rsid w:val="003D458B"/>
    <w:rsid w:val="003E069E"/>
    <w:rsid w:val="003F2C11"/>
    <w:rsid w:val="00400074"/>
    <w:rsid w:val="00402FCC"/>
    <w:rsid w:val="00406730"/>
    <w:rsid w:val="004122F1"/>
    <w:rsid w:val="00417264"/>
    <w:rsid w:val="004351B9"/>
    <w:rsid w:val="00441842"/>
    <w:rsid w:val="00464B75"/>
    <w:rsid w:val="00473316"/>
    <w:rsid w:val="00473D96"/>
    <w:rsid w:val="00485015"/>
    <w:rsid w:val="00485D8B"/>
    <w:rsid w:val="00486757"/>
    <w:rsid w:val="0049064B"/>
    <w:rsid w:val="004A3D35"/>
    <w:rsid w:val="004B49BD"/>
    <w:rsid w:val="004C10E0"/>
    <w:rsid w:val="004D1BB3"/>
    <w:rsid w:val="004E4C7E"/>
    <w:rsid w:val="004E5805"/>
    <w:rsid w:val="0051139C"/>
    <w:rsid w:val="005229C8"/>
    <w:rsid w:val="00523DB7"/>
    <w:rsid w:val="00530A6C"/>
    <w:rsid w:val="00546CBA"/>
    <w:rsid w:val="00554EE4"/>
    <w:rsid w:val="0057409D"/>
    <w:rsid w:val="00575FB5"/>
    <w:rsid w:val="00585DDD"/>
    <w:rsid w:val="005A64BB"/>
    <w:rsid w:val="005B1039"/>
    <w:rsid w:val="005C5DF3"/>
    <w:rsid w:val="005E03D3"/>
    <w:rsid w:val="005E6901"/>
    <w:rsid w:val="005F38CA"/>
    <w:rsid w:val="006014C6"/>
    <w:rsid w:val="0061220B"/>
    <w:rsid w:val="00621F99"/>
    <w:rsid w:val="0062437D"/>
    <w:rsid w:val="006339E8"/>
    <w:rsid w:val="00636FF7"/>
    <w:rsid w:val="00672663"/>
    <w:rsid w:val="00674699"/>
    <w:rsid w:val="00682A1E"/>
    <w:rsid w:val="00685218"/>
    <w:rsid w:val="00687E41"/>
    <w:rsid w:val="006905AB"/>
    <w:rsid w:val="006B5B8F"/>
    <w:rsid w:val="006C04E5"/>
    <w:rsid w:val="006C15A2"/>
    <w:rsid w:val="006C6DDB"/>
    <w:rsid w:val="006D4120"/>
    <w:rsid w:val="006D4DAA"/>
    <w:rsid w:val="006D73D6"/>
    <w:rsid w:val="006E45F8"/>
    <w:rsid w:val="007000A5"/>
    <w:rsid w:val="00713E1A"/>
    <w:rsid w:val="00736A05"/>
    <w:rsid w:val="00740DCA"/>
    <w:rsid w:val="007610B2"/>
    <w:rsid w:val="0076484B"/>
    <w:rsid w:val="007759F6"/>
    <w:rsid w:val="007829E3"/>
    <w:rsid w:val="007865B4"/>
    <w:rsid w:val="007875E0"/>
    <w:rsid w:val="007A0BF0"/>
    <w:rsid w:val="007B115F"/>
    <w:rsid w:val="007B15F2"/>
    <w:rsid w:val="007D46E4"/>
    <w:rsid w:val="0080536C"/>
    <w:rsid w:val="00807D2B"/>
    <w:rsid w:val="008272AB"/>
    <w:rsid w:val="008324A0"/>
    <w:rsid w:val="00867F4B"/>
    <w:rsid w:val="00870453"/>
    <w:rsid w:val="0088372B"/>
    <w:rsid w:val="008870C1"/>
    <w:rsid w:val="008A1358"/>
    <w:rsid w:val="008B0627"/>
    <w:rsid w:val="008E0A9C"/>
    <w:rsid w:val="008F4D0C"/>
    <w:rsid w:val="008F67E4"/>
    <w:rsid w:val="009070CF"/>
    <w:rsid w:val="009251D4"/>
    <w:rsid w:val="00926C3E"/>
    <w:rsid w:val="0094377E"/>
    <w:rsid w:val="00966DA2"/>
    <w:rsid w:val="00980B2B"/>
    <w:rsid w:val="00986CB3"/>
    <w:rsid w:val="00992EF8"/>
    <w:rsid w:val="0099469B"/>
    <w:rsid w:val="009A0C5E"/>
    <w:rsid w:val="009A38AE"/>
    <w:rsid w:val="009B2092"/>
    <w:rsid w:val="009B5893"/>
    <w:rsid w:val="009C4C78"/>
    <w:rsid w:val="009D0889"/>
    <w:rsid w:val="009D212D"/>
    <w:rsid w:val="009D4A2A"/>
    <w:rsid w:val="009E5D34"/>
    <w:rsid w:val="00A03640"/>
    <w:rsid w:val="00A07A88"/>
    <w:rsid w:val="00A20295"/>
    <w:rsid w:val="00A23747"/>
    <w:rsid w:val="00A42121"/>
    <w:rsid w:val="00A43DCE"/>
    <w:rsid w:val="00A51434"/>
    <w:rsid w:val="00A615F9"/>
    <w:rsid w:val="00AA471C"/>
    <w:rsid w:val="00AA784D"/>
    <w:rsid w:val="00AC1913"/>
    <w:rsid w:val="00AD3C17"/>
    <w:rsid w:val="00AF3C31"/>
    <w:rsid w:val="00B429D9"/>
    <w:rsid w:val="00B55419"/>
    <w:rsid w:val="00B63696"/>
    <w:rsid w:val="00B70DA5"/>
    <w:rsid w:val="00B81A17"/>
    <w:rsid w:val="00B9154E"/>
    <w:rsid w:val="00BA7C65"/>
    <w:rsid w:val="00BB745B"/>
    <w:rsid w:val="00BC4B35"/>
    <w:rsid w:val="00BC6C1C"/>
    <w:rsid w:val="00BD4C18"/>
    <w:rsid w:val="00BE0CC3"/>
    <w:rsid w:val="00C211E0"/>
    <w:rsid w:val="00C630E3"/>
    <w:rsid w:val="00C736A5"/>
    <w:rsid w:val="00C776F7"/>
    <w:rsid w:val="00C8241B"/>
    <w:rsid w:val="00C8570C"/>
    <w:rsid w:val="00CA765D"/>
    <w:rsid w:val="00CB6BA5"/>
    <w:rsid w:val="00CC192C"/>
    <w:rsid w:val="00CC2DB5"/>
    <w:rsid w:val="00CC6F60"/>
    <w:rsid w:val="00CD7691"/>
    <w:rsid w:val="00CF1D6C"/>
    <w:rsid w:val="00CF219D"/>
    <w:rsid w:val="00D030EC"/>
    <w:rsid w:val="00D14E44"/>
    <w:rsid w:val="00D1737E"/>
    <w:rsid w:val="00D24A67"/>
    <w:rsid w:val="00D3109A"/>
    <w:rsid w:val="00D3639A"/>
    <w:rsid w:val="00D45158"/>
    <w:rsid w:val="00D55C5C"/>
    <w:rsid w:val="00D56BF9"/>
    <w:rsid w:val="00DA7374"/>
    <w:rsid w:val="00DB1295"/>
    <w:rsid w:val="00DD2E89"/>
    <w:rsid w:val="00DE46C7"/>
    <w:rsid w:val="00DF5C43"/>
    <w:rsid w:val="00E00BA3"/>
    <w:rsid w:val="00E15579"/>
    <w:rsid w:val="00E20BC3"/>
    <w:rsid w:val="00E212E7"/>
    <w:rsid w:val="00E40609"/>
    <w:rsid w:val="00E4331A"/>
    <w:rsid w:val="00E50A5F"/>
    <w:rsid w:val="00E74722"/>
    <w:rsid w:val="00E74ACD"/>
    <w:rsid w:val="00E970BE"/>
    <w:rsid w:val="00EA6597"/>
    <w:rsid w:val="00EB00DD"/>
    <w:rsid w:val="00EB5630"/>
    <w:rsid w:val="00EB5CEA"/>
    <w:rsid w:val="00EF0F14"/>
    <w:rsid w:val="00F04D03"/>
    <w:rsid w:val="00F067B9"/>
    <w:rsid w:val="00F22BF1"/>
    <w:rsid w:val="00F360A7"/>
    <w:rsid w:val="00F4341E"/>
    <w:rsid w:val="00F65A20"/>
    <w:rsid w:val="00F6771B"/>
    <w:rsid w:val="00F72B9B"/>
    <w:rsid w:val="00F73BCE"/>
    <w:rsid w:val="00F877ED"/>
    <w:rsid w:val="00FB2B7D"/>
    <w:rsid w:val="00FB4600"/>
    <w:rsid w:val="00FC250B"/>
    <w:rsid w:val="00FC2C95"/>
    <w:rsid w:val="00FC537F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33B5"/>
  <w15:docId w15:val="{62B899F1-5706-4B7A-8665-F1723980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00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rsid w:val="00A07A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D2B"/>
  </w:style>
  <w:style w:type="paragraph" w:styleId="a7">
    <w:name w:val="footer"/>
    <w:basedOn w:val="a"/>
    <w:link w:val="a8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D2B"/>
  </w:style>
  <w:style w:type="paragraph" w:styleId="a9">
    <w:name w:val="Body Text"/>
    <w:basedOn w:val="a"/>
    <w:link w:val="aa"/>
    <w:rsid w:val="003F2C11"/>
    <w:pPr>
      <w:suppressAutoHyphens/>
      <w:overflowPunct w:val="0"/>
      <w:spacing w:after="140" w:line="288" w:lineRule="auto"/>
    </w:pPr>
    <w:rPr>
      <w:rFonts w:ascii="Calibri" w:eastAsia="Calibri" w:hAnsi="Calibri" w:cs="Tahoma"/>
      <w:color w:val="00000A"/>
    </w:rPr>
  </w:style>
  <w:style w:type="character" w:customStyle="1" w:styleId="aa">
    <w:name w:val="Основной текст Знак"/>
    <w:basedOn w:val="a0"/>
    <w:link w:val="a9"/>
    <w:rsid w:val="003F2C11"/>
    <w:rPr>
      <w:rFonts w:ascii="Calibri" w:eastAsia="Calibri" w:hAnsi="Calibri" w:cs="Tahoma"/>
      <w:color w:val="00000A"/>
    </w:rPr>
  </w:style>
  <w:style w:type="paragraph" w:styleId="ab">
    <w:name w:val="No Spacing"/>
    <w:uiPriority w:val="1"/>
    <w:qFormat/>
    <w:rsid w:val="004122F1"/>
    <w:pPr>
      <w:spacing w:after="0" w:line="240" w:lineRule="auto"/>
    </w:pPr>
  </w:style>
  <w:style w:type="character" w:customStyle="1" w:styleId="-">
    <w:name w:val="Интернет-ссылка"/>
    <w:basedOn w:val="a0"/>
    <w:rsid w:val="00C73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B30C-9C21-4ECD-A2D0-5C85A2B9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Полина Козырева</cp:lastModifiedBy>
  <cp:revision>2</cp:revision>
  <cp:lastPrinted>2012-12-10T08:06:00Z</cp:lastPrinted>
  <dcterms:created xsi:type="dcterms:W3CDTF">2016-12-08T17:13:00Z</dcterms:created>
  <dcterms:modified xsi:type="dcterms:W3CDTF">2016-12-08T17:13:00Z</dcterms:modified>
</cp:coreProperties>
</file>